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6F8D294A" w:rsidR="006C3828" w:rsidRPr="00894D21" w:rsidRDefault="006C3828" w:rsidP="00894D21">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r w:rsidR="008471F6" w:rsidRPr="008471F6">
        <w:rPr>
          <w:rFonts w:ascii="Times New Roman" w:hAnsi="Times New Roman" w:cs="Times New Roman"/>
          <w:b/>
          <w:bCs/>
          <w:sz w:val="24"/>
          <w:szCs w:val="24"/>
        </w:rPr>
        <w:t xml:space="preserve">Noteikumi par </w:t>
      </w:r>
      <w:bookmarkStart w:id="0" w:name="_Hlk165551047"/>
      <w:r w:rsidR="005F7A8B">
        <w:rPr>
          <w:rFonts w:ascii="Times New Roman" w:hAnsi="Times New Roman" w:cs="Times New Roman"/>
          <w:b/>
          <w:bCs/>
          <w:sz w:val="24"/>
          <w:szCs w:val="24"/>
        </w:rPr>
        <w:t>ieguldījumu brokeru sabiedrību</w:t>
      </w:r>
      <w:r w:rsidR="005F58E8">
        <w:rPr>
          <w:rFonts w:ascii="Times New Roman" w:hAnsi="Times New Roman" w:cs="Times New Roman"/>
          <w:b/>
          <w:bCs/>
          <w:sz w:val="24"/>
          <w:szCs w:val="24"/>
        </w:rPr>
        <w:t xml:space="preserve"> </w:t>
      </w:r>
      <w:bookmarkEnd w:id="0"/>
      <w:r w:rsidR="008471F6" w:rsidRPr="008471F6">
        <w:rPr>
          <w:rFonts w:ascii="Times New Roman" w:hAnsi="Times New Roman" w:cs="Times New Roman"/>
          <w:b/>
          <w:bCs/>
          <w:sz w:val="24"/>
          <w:szCs w:val="24"/>
        </w:rPr>
        <w:t>atalgojuma politiku un praksi</w:t>
      </w:r>
      <w:r w:rsidRPr="00894D21">
        <w:rPr>
          <w:rFonts w:ascii="Times New Roman" w:hAnsi="Times New Roman" w:cs="Times New Roman"/>
          <w:b/>
          <w:bCs/>
          <w:sz w:val="24"/>
          <w:szCs w:val="24"/>
        </w:rPr>
        <w:t>" anotācija</w:t>
      </w:r>
    </w:p>
    <w:p w14:paraId="328163FB" w14:textId="77777777" w:rsidR="006C3828" w:rsidRPr="00894D21" w:rsidRDefault="006C3828" w:rsidP="00AD0DA2">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66"/>
      </w:tblGrid>
      <w:tr w:rsidR="006C3828" w:rsidRPr="00894D21" w14:paraId="2962AEE1" w14:textId="77777777" w:rsidTr="00EB2E5D">
        <w:trPr>
          <w:trHeight w:val="567"/>
        </w:trPr>
        <w:tc>
          <w:tcPr>
            <w:tcW w:w="1573" w:type="pct"/>
            <w:shd w:val="clear" w:color="auto" w:fill="auto"/>
            <w:hideMark/>
          </w:tcPr>
          <w:p w14:paraId="28E56CFA"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00D2931F" w14:textId="1BA61E47" w:rsidR="006C3828" w:rsidRPr="00894D21" w:rsidRDefault="008471F6" w:rsidP="00D53AC5">
            <w:pPr>
              <w:spacing w:after="120" w:line="240" w:lineRule="auto"/>
              <w:jc w:val="both"/>
              <w:rPr>
                <w:rFonts w:ascii="Times New Roman" w:eastAsia="Times New Roman" w:hAnsi="Times New Roman" w:cs="Times New Roman"/>
                <w:sz w:val="24"/>
                <w:szCs w:val="24"/>
                <w:lang w:eastAsia="lv-LV"/>
              </w:rPr>
            </w:pPr>
            <w:r w:rsidRPr="008471F6">
              <w:rPr>
                <w:rFonts w:ascii="Times New Roman" w:eastAsia="Times New Roman" w:hAnsi="Times New Roman" w:cs="Times New Roman"/>
                <w:sz w:val="24"/>
                <w:szCs w:val="24"/>
                <w:lang w:eastAsia="lv-LV"/>
              </w:rPr>
              <w:t xml:space="preserve">Noteikumi par </w:t>
            </w:r>
            <w:r w:rsidR="005F7A8B" w:rsidRPr="005F7A8B">
              <w:rPr>
                <w:rFonts w:ascii="Times New Roman" w:eastAsia="Times New Roman" w:hAnsi="Times New Roman" w:cs="Times New Roman"/>
                <w:sz w:val="24"/>
                <w:szCs w:val="24"/>
                <w:lang w:eastAsia="lv-LV"/>
              </w:rPr>
              <w:t xml:space="preserve">ieguldījumu brokeru sabiedrību </w:t>
            </w:r>
            <w:r w:rsidRPr="008471F6">
              <w:rPr>
                <w:rFonts w:ascii="Times New Roman" w:eastAsia="Times New Roman" w:hAnsi="Times New Roman" w:cs="Times New Roman"/>
                <w:sz w:val="24"/>
                <w:szCs w:val="24"/>
                <w:lang w:eastAsia="lv-LV"/>
              </w:rPr>
              <w:t>atalgojuma politiku un praksi</w:t>
            </w:r>
            <w:r w:rsidR="00CC124D">
              <w:rPr>
                <w:rFonts w:ascii="Times New Roman" w:eastAsia="Times New Roman" w:hAnsi="Times New Roman" w:cs="Times New Roman"/>
                <w:sz w:val="24"/>
                <w:szCs w:val="24"/>
                <w:lang w:eastAsia="lv-LV"/>
              </w:rPr>
              <w:t xml:space="preserve"> </w:t>
            </w:r>
          </w:p>
        </w:tc>
      </w:tr>
      <w:tr w:rsidR="006C3828" w:rsidRPr="00894D21" w14:paraId="7F11A741" w14:textId="77777777" w:rsidTr="00EB2E5D">
        <w:trPr>
          <w:trHeight w:val="395"/>
        </w:trPr>
        <w:tc>
          <w:tcPr>
            <w:tcW w:w="1573" w:type="pct"/>
            <w:shd w:val="clear" w:color="auto" w:fill="auto"/>
            <w:hideMark/>
          </w:tcPr>
          <w:p w14:paraId="49DBC46E"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4B5460C8"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EB2E5D">
        <w:trPr>
          <w:trHeight w:val="567"/>
        </w:trPr>
        <w:tc>
          <w:tcPr>
            <w:tcW w:w="1573" w:type="pct"/>
            <w:shd w:val="clear" w:color="auto" w:fill="auto"/>
            <w:hideMark/>
          </w:tcPr>
          <w:p w14:paraId="634A573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48EEF1AA" w14:textId="410E746D" w:rsidR="006C3828" w:rsidRPr="00894D21" w:rsidRDefault="00AC6261" w:rsidP="00AC6261">
            <w:pPr>
              <w:spacing w:after="120" w:line="240" w:lineRule="auto"/>
              <w:jc w:val="both"/>
              <w:rPr>
                <w:rFonts w:ascii="Times New Roman" w:eastAsia="Times New Roman" w:hAnsi="Times New Roman" w:cs="Times New Roman"/>
                <w:sz w:val="24"/>
                <w:szCs w:val="24"/>
                <w:lang w:eastAsia="lv-LV"/>
              </w:rPr>
            </w:pPr>
            <w:r w:rsidRPr="00AC6261">
              <w:rPr>
                <w:rFonts w:ascii="Times New Roman" w:eastAsia="Times New Roman" w:hAnsi="Times New Roman" w:cs="Times New Roman"/>
                <w:sz w:val="24"/>
                <w:szCs w:val="24"/>
                <w:lang w:eastAsia="lv-LV"/>
              </w:rPr>
              <w:t>Ieguldījumu brokeru sabiedrību likuma</w:t>
            </w:r>
            <w:r>
              <w:rPr>
                <w:rFonts w:ascii="Times New Roman" w:eastAsia="Times New Roman" w:hAnsi="Times New Roman" w:cs="Times New Roman"/>
                <w:sz w:val="24"/>
                <w:szCs w:val="24"/>
                <w:lang w:eastAsia="lv-LV"/>
              </w:rPr>
              <w:t xml:space="preserve"> </w:t>
            </w:r>
            <w:r w:rsidRPr="00AC6261">
              <w:rPr>
                <w:rFonts w:ascii="Times New Roman" w:eastAsia="Times New Roman" w:hAnsi="Times New Roman" w:cs="Times New Roman"/>
                <w:sz w:val="24"/>
                <w:szCs w:val="24"/>
                <w:lang w:eastAsia="lv-LV"/>
              </w:rPr>
              <w:t>31.</w:t>
            </w:r>
            <w:r w:rsidR="003C7FA2">
              <w:rPr>
                <w:rFonts w:ascii="Times New Roman" w:eastAsia="Times New Roman" w:hAnsi="Times New Roman" w:cs="Times New Roman"/>
                <w:sz w:val="24"/>
                <w:szCs w:val="24"/>
                <w:lang w:eastAsia="lv-LV"/>
              </w:rPr>
              <w:t> </w:t>
            </w:r>
            <w:r w:rsidRPr="00AC6261">
              <w:rPr>
                <w:rFonts w:ascii="Times New Roman" w:eastAsia="Times New Roman" w:hAnsi="Times New Roman" w:cs="Times New Roman"/>
                <w:sz w:val="24"/>
                <w:szCs w:val="24"/>
                <w:lang w:eastAsia="lv-LV"/>
              </w:rPr>
              <w:t>panta ceturt</w:t>
            </w:r>
            <w:r>
              <w:rPr>
                <w:rFonts w:ascii="Times New Roman" w:eastAsia="Times New Roman" w:hAnsi="Times New Roman" w:cs="Times New Roman"/>
                <w:sz w:val="24"/>
                <w:szCs w:val="24"/>
                <w:lang w:eastAsia="lv-LV"/>
              </w:rPr>
              <w:t>ā</w:t>
            </w:r>
            <w:r w:rsidRPr="00AC6261">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AC6261">
              <w:rPr>
                <w:rFonts w:ascii="Times New Roman" w:eastAsia="Times New Roman" w:hAnsi="Times New Roman" w:cs="Times New Roman"/>
                <w:sz w:val="24"/>
                <w:szCs w:val="24"/>
                <w:lang w:eastAsia="lv-LV"/>
              </w:rPr>
              <w:t xml:space="preserve"> un 37.</w:t>
            </w:r>
            <w:r w:rsidR="003C7FA2">
              <w:rPr>
                <w:rFonts w:ascii="Times New Roman" w:eastAsia="Times New Roman" w:hAnsi="Times New Roman" w:cs="Times New Roman"/>
                <w:sz w:val="24"/>
                <w:szCs w:val="24"/>
                <w:lang w:eastAsia="lv-LV"/>
              </w:rPr>
              <w:t> </w:t>
            </w:r>
            <w:r w:rsidRPr="00AC6261">
              <w:rPr>
                <w:rFonts w:ascii="Times New Roman" w:eastAsia="Times New Roman" w:hAnsi="Times New Roman" w:cs="Times New Roman"/>
                <w:sz w:val="24"/>
                <w:szCs w:val="24"/>
                <w:lang w:eastAsia="lv-LV"/>
              </w:rPr>
              <w:t>panta pirm</w:t>
            </w:r>
            <w:r>
              <w:rPr>
                <w:rFonts w:ascii="Times New Roman" w:eastAsia="Times New Roman" w:hAnsi="Times New Roman" w:cs="Times New Roman"/>
                <w:sz w:val="24"/>
                <w:szCs w:val="24"/>
                <w:lang w:eastAsia="lv-LV"/>
              </w:rPr>
              <w:t>ā</w:t>
            </w:r>
            <w:r w:rsidRPr="00AC6261">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6C3828" w:rsidRPr="00894D21" w14:paraId="26D3F596" w14:textId="77777777" w:rsidTr="00EB2E5D">
        <w:trPr>
          <w:trHeight w:val="567"/>
        </w:trPr>
        <w:tc>
          <w:tcPr>
            <w:tcW w:w="1573" w:type="pct"/>
            <w:shd w:val="clear" w:color="auto" w:fill="auto"/>
            <w:hideMark/>
          </w:tcPr>
          <w:p w14:paraId="253A449D" w14:textId="77777777" w:rsidR="006C3828" w:rsidRPr="00BB15E9" w:rsidRDefault="006C3828" w:rsidP="00AD0DA2">
            <w:pPr>
              <w:spacing w:after="0" w:line="240" w:lineRule="auto"/>
              <w:rPr>
                <w:rFonts w:ascii="Times New Roman" w:eastAsia="Times New Roman" w:hAnsi="Times New Roman" w:cs="Times New Roman"/>
                <w:b/>
                <w:bCs/>
                <w:sz w:val="24"/>
                <w:szCs w:val="24"/>
                <w:lang w:eastAsia="lv-LV"/>
              </w:rPr>
            </w:pPr>
            <w:r w:rsidRPr="00BB15E9">
              <w:rPr>
                <w:rFonts w:ascii="Times New Roman" w:eastAsia="Times New Roman" w:hAnsi="Times New Roman" w:cs="Times New Roman"/>
                <w:b/>
                <w:bCs/>
                <w:sz w:val="24"/>
                <w:szCs w:val="24"/>
                <w:lang w:eastAsia="lv-LV"/>
              </w:rPr>
              <w:t>Mērķis un būtība</w:t>
            </w:r>
          </w:p>
          <w:p w14:paraId="47670F7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p w14:paraId="57C9B05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tc>
        <w:tc>
          <w:tcPr>
            <w:tcW w:w="3427" w:type="pct"/>
            <w:shd w:val="clear" w:color="auto" w:fill="auto"/>
          </w:tcPr>
          <w:p w14:paraId="69ED3E3F" w14:textId="3FD1F1E0" w:rsidR="00F7192D" w:rsidRPr="00DB2430" w:rsidRDefault="008471F6" w:rsidP="00685AE6">
            <w:pPr>
              <w:spacing w:after="120" w:line="240" w:lineRule="auto"/>
              <w:jc w:val="both"/>
              <w:rPr>
                <w:rFonts w:ascii="Times New Roman" w:eastAsia="Times New Roman" w:hAnsi="Times New Roman" w:cs="Times New Roman"/>
                <w:sz w:val="24"/>
                <w:szCs w:val="24"/>
                <w:lang w:eastAsia="lv-LV"/>
              </w:rPr>
            </w:pPr>
            <w:r w:rsidRPr="005C49E0">
              <w:rPr>
                <w:rFonts w:ascii="Times New Roman" w:eastAsia="Times New Roman" w:hAnsi="Times New Roman" w:cs="Times New Roman"/>
                <w:sz w:val="24"/>
                <w:szCs w:val="24"/>
                <w:lang w:eastAsia="lv-LV"/>
              </w:rPr>
              <w:t xml:space="preserve">Noteikumu par </w:t>
            </w:r>
            <w:r w:rsidR="003C7FA2">
              <w:rPr>
                <w:rFonts w:ascii="Times New Roman" w:eastAsia="Times New Roman" w:hAnsi="Times New Roman" w:cs="Times New Roman"/>
                <w:sz w:val="24"/>
                <w:szCs w:val="24"/>
                <w:lang w:eastAsia="lv-LV"/>
              </w:rPr>
              <w:t>ieguldījumu brokeru sabiedrību</w:t>
            </w:r>
            <w:r w:rsidR="0032076B" w:rsidRPr="005C49E0">
              <w:rPr>
                <w:rFonts w:ascii="Times New Roman" w:eastAsia="Times New Roman" w:hAnsi="Times New Roman" w:cs="Times New Roman"/>
                <w:sz w:val="24"/>
                <w:szCs w:val="24"/>
                <w:lang w:eastAsia="lv-LV"/>
              </w:rPr>
              <w:t xml:space="preserve"> </w:t>
            </w:r>
            <w:r w:rsidRPr="005C49E0">
              <w:rPr>
                <w:rFonts w:ascii="Times New Roman" w:eastAsia="Times New Roman" w:hAnsi="Times New Roman" w:cs="Times New Roman"/>
                <w:sz w:val="24"/>
                <w:szCs w:val="24"/>
                <w:lang w:eastAsia="lv-LV"/>
              </w:rPr>
              <w:t>atalgojuma politiku un praksi</w:t>
            </w:r>
            <w:r w:rsidRPr="005C49E0">
              <w:rPr>
                <w:rFonts w:ascii="Times New Roman" w:eastAsia="Times New Roman" w:hAnsi="Times New Roman" w:cs="Times New Roman"/>
                <w:color w:val="000000"/>
                <w:sz w:val="24"/>
                <w:szCs w:val="24"/>
                <w:lang w:eastAsia="lv-LV"/>
              </w:rPr>
              <w:t xml:space="preserve"> </w:t>
            </w:r>
            <w:r w:rsidR="00F7192D" w:rsidRPr="005C49E0">
              <w:rPr>
                <w:rFonts w:ascii="Times New Roman" w:eastAsia="Times New Roman" w:hAnsi="Times New Roman" w:cs="Times New Roman"/>
                <w:color w:val="000000"/>
                <w:sz w:val="24"/>
                <w:szCs w:val="24"/>
                <w:lang w:eastAsia="lv-LV"/>
              </w:rPr>
              <w:t xml:space="preserve">mērķis ir izpildīt </w:t>
            </w:r>
            <w:r w:rsidR="003C7FA2">
              <w:rPr>
                <w:rFonts w:ascii="Times New Roman" w:eastAsia="Times New Roman" w:hAnsi="Times New Roman" w:cs="Times New Roman"/>
                <w:color w:val="000000"/>
                <w:sz w:val="24"/>
                <w:szCs w:val="24"/>
                <w:lang w:eastAsia="lv-LV"/>
              </w:rPr>
              <w:t>I</w:t>
            </w:r>
            <w:r w:rsidR="003C7FA2">
              <w:rPr>
                <w:rFonts w:ascii="Times New Roman" w:eastAsia="Times New Roman" w:hAnsi="Times New Roman" w:cs="Times New Roman"/>
                <w:sz w:val="24"/>
                <w:szCs w:val="24"/>
                <w:lang w:eastAsia="lv-LV"/>
              </w:rPr>
              <w:t>eguldījumu brokeru sabiedrību likumā</w:t>
            </w:r>
            <w:r w:rsidR="003C7FA2" w:rsidRPr="005C49E0">
              <w:rPr>
                <w:rFonts w:ascii="Times New Roman" w:eastAsia="Times New Roman" w:hAnsi="Times New Roman" w:cs="Times New Roman"/>
                <w:sz w:val="24"/>
                <w:szCs w:val="24"/>
                <w:lang w:eastAsia="lv-LV"/>
              </w:rPr>
              <w:t xml:space="preserve"> </w:t>
            </w:r>
            <w:r w:rsidR="00685E8D">
              <w:rPr>
                <w:rFonts w:ascii="Times New Roman" w:eastAsia="Times New Roman" w:hAnsi="Times New Roman" w:cs="Times New Roman"/>
                <w:sz w:val="24"/>
                <w:szCs w:val="24"/>
                <w:lang w:eastAsia="lv-LV"/>
              </w:rPr>
              <w:t>Latvijas Bankai</w:t>
            </w:r>
            <w:r w:rsidR="0032076B" w:rsidRPr="005C49E0">
              <w:rPr>
                <w:rFonts w:ascii="Times New Roman" w:eastAsia="Times New Roman" w:hAnsi="Times New Roman" w:cs="Times New Roman"/>
                <w:color w:val="000000"/>
                <w:sz w:val="24"/>
                <w:szCs w:val="24"/>
                <w:lang w:eastAsia="lv-LV"/>
              </w:rPr>
              <w:t xml:space="preserve"> </w:t>
            </w:r>
            <w:r w:rsidR="00F7192D" w:rsidRPr="005C49E0">
              <w:rPr>
                <w:rFonts w:ascii="Times New Roman" w:eastAsia="Times New Roman" w:hAnsi="Times New Roman" w:cs="Times New Roman"/>
                <w:color w:val="000000"/>
                <w:sz w:val="24"/>
                <w:szCs w:val="24"/>
                <w:lang w:eastAsia="lv-LV"/>
              </w:rPr>
              <w:t>deleģēto pienākumu</w:t>
            </w:r>
            <w:r w:rsidR="00DB2430">
              <w:rPr>
                <w:rFonts w:ascii="Times New Roman" w:eastAsia="Times New Roman" w:hAnsi="Times New Roman" w:cs="Times New Roman"/>
                <w:color w:val="000000"/>
                <w:sz w:val="24"/>
                <w:szCs w:val="24"/>
                <w:lang w:eastAsia="lv-LV"/>
              </w:rPr>
              <w:t> </w:t>
            </w:r>
            <w:r w:rsidR="00DB2430">
              <w:rPr>
                <w:rFonts w:ascii="Times New Roman" w:eastAsia="Times New Roman" w:hAnsi="Times New Roman" w:cs="Times New Roman"/>
                <w:sz w:val="24"/>
                <w:szCs w:val="24"/>
                <w:lang w:eastAsia="lv-LV"/>
              </w:rPr>
              <w:t>–</w:t>
            </w:r>
            <w:r w:rsidR="005C49E0" w:rsidRPr="005C49E0">
              <w:rPr>
                <w:rFonts w:ascii="Times New Roman" w:eastAsia="Times New Roman" w:hAnsi="Times New Roman" w:cs="Times New Roman"/>
                <w:sz w:val="24"/>
                <w:szCs w:val="24"/>
                <w:lang w:eastAsia="lv-LV"/>
              </w:rPr>
              <w:t xml:space="preserve"> </w:t>
            </w:r>
            <w:r w:rsidR="003C7FA2" w:rsidRPr="003C7FA2">
              <w:rPr>
                <w:rFonts w:ascii="Times New Roman" w:eastAsia="Times New Roman" w:hAnsi="Times New Roman" w:cs="Times New Roman"/>
                <w:color w:val="000000"/>
                <w:sz w:val="24"/>
                <w:szCs w:val="24"/>
                <w:lang w:eastAsia="lv-LV"/>
              </w:rPr>
              <w:t xml:space="preserve">noteikt prasības attiecībā uz ieguldījumu brokeru sabiedrības atalgojuma politiku </w:t>
            </w:r>
            <w:r w:rsidR="003C7FA2" w:rsidRPr="006904A3">
              <w:rPr>
                <w:rFonts w:ascii="Times New Roman" w:eastAsia="Times New Roman" w:hAnsi="Times New Roman" w:cs="Times New Roman"/>
                <w:color w:val="000000"/>
                <w:sz w:val="24"/>
                <w:szCs w:val="24"/>
                <w:lang w:eastAsia="lv-LV"/>
              </w:rPr>
              <w:t>un praksi, kā arī</w:t>
            </w:r>
            <w:r w:rsidR="003C7FA2" w:rsidRPr="006904A3">
              <w:rPr>
                <w:rFonts w:ascii="Arial" w:hAnsi="Arial" w:cs="Arial"/>
                <w:color w:val="414142"/>
                <w:sz w:val="20"/>
                <w:szCs w:val="20"/>
                <w:shd w:val="clear" w:color="auto" w:fill="FFFFFF"/>
              </w:rPr>
              <w:t xml:space="preserve"> </w:t>
            </w:r>
            <w:r w:rsidR="003C7FA2" w:rsidRPr="006904A3">
              <w:rPr>
                <w:rFonts w:ascii="Times New Roman" w:eastAsia="Times New Roman" w:hAnsi="Times New Roman" w:cs="Times New Roman"/>
                <w:sz w:val="24"/>
                <w:szCs w:val="24"/>
                <w:lang w:eastAsia="lv-LV"/>
              </w:rPr>
              <w:t xml:space="preserve">apkopot ar atalgojuma politiku un praksi saistīto informāciju, ko ieguldījumu brokeru sabiedrības publisko saskaņā ar </w:t>
            </w:r>
            <w:r w:rsidR="00E76792" w:rsidRPr="006904A3">
              <w:rPr>
                <w:rFonts w:ascii="Times New Roman" w:eastAsia="Times New Roman" w:hAnsi="Times New Roman" w:cs="Times New Roman"/>
                <w:sz w:val="24"/>
                <w:szCs w:val="24"/>
                <w:lang w:eastAsia="lv-LV"/>
              </w:rPr>
              <w:t xml:space="preserve">Eiropas Parlamenta un Padomes 2019. gada 27. novembra </w:t>
            </w:r>
            <w:r w:rsidR="00DB2430" w:rsidRPr="006904A3">
              <w:rPr>
                <w:rFonts w:ascii="Times New Roman" w:eastAsia="Times New Roman" w:hAnsi="Times New Roman" w:cs="Times New Roman"/>
                <w:sz w:val="24"/>
                <w:szCs w:val="24"/>
                <w:lang w:eastAsia="lv-LV"/>
              </w:rPr>
              <w:t>r</w:t>
            </w:r>
            <w:r w:rsidR="00E76792" w:rsidRPr="006904A3">
              <w:rPr>
                <w:rFonts w:ascii="Times New Roman" w:eastAsia="Times New Roman" w:hAnsi="Times New Roman" w:cs="Times New Roman"/>
                <w:sz w:val="24"/>
                <w:szCs w:val="24"/>
                <w:lang w:eastAsia="lv-LV"/>
              </w:rPr>
              <w:t xml:space="preserve">egulas (ES) 2019/2033 par prudenciālajām prasībām ieguldījumu brokeru sabiedrībām un ar ko groza </w:t>
            </w:r>
            <w:r w:rsidR="00DB2430" w:rsidRPr="006904A3">
              <w:rPr>
                <w:rFonts w:ascii="Times New Roman" w:eastAsia="Times New Roman" w:hAnsi="Times New Roman" w:cs="Times New Roman"/>
                <w:sz w:val="24"/>
                <w:szCs w:val="24"/>
                <w:lang w:eastAsia="lv-LV"/>
              </w:rPr>
              <w:t>r</w:t>
            </w:r>
            <w:r w:rsidR="00E76792" w:rsidRPr="006904A3">
              <w:rPr>
                <w:rFonts w:ascii="Times New Roman" w:eastAsia="Times New Roman" w:hAnsi="Times New Roman" w:cs="Times New Roman"/>
                <w:sz w:val="24"/>
                <w:szCs w:val="24"/>
                <w:lang w:eastAsia="lv-LV"/>
              </w:rPr>
              <w:t>egulas (ES) Nr.</w:t>
            </w:r>
            <w:r w:rsidR="00DB2430" w:rsidRPr="006904A3">
              <w:rPr>
                <w:rFonts w:ascii="Times New Roman" w:eastAsia="Times New Roman" w:hAnsi="Times New Roman" w:cs="Times New Roman"/>
                <w:sz w:val="24"/>
                <w:szCs w:val="24"/>
                <w:lang w:eastAsia="lv-LV"/>
              </w:rPr>
              <w:t> </w:t>
            </w:r>
            <w:r w:rsidR="00E76792" w:rsidRPr="006904A3">
              <w:rPr>
                <w:rFonts w:ascii="Times New Roman" w:eastAsia="Times New Roman" w:hAnsi="Times New Roman" w:cs="Times New Roman"/>
                <w:sz w:val="24"/>
                <w:szCs w:val="24"/>
                <w:lang w:eastAsia="lv-LV"/>
              </w:rPr>
              <w:t>1093/2010, (ES)</w:t>
            </w:r>
            <w:r w:rsidR="00DB2430" w:rsidRPr="006904A3">
              <w:rPr>
                <w:rFonts w:ascii="Times New Roman" w:eastAsia="Times New Roman" w:hAnsi="Times New Roman" w:cs="Times New Roman"/>
                <w:sz w:val="24"/>
                <w:szCs w:val="24"/>
                <w:lang w:eastAsia="lv-LV"/>
              </w:rPr>
              <w:t> </w:t>
            </w:r>
            <w:r w:rsidR="00E76792" w:rsidRPr="006904A3">
              <w:rPr>
                <w:rFonts w:ascii="Times New Roman" w:eastAsia="Times New Roman" w:hAnsi="Times New Roman" w:cs="Times New Roman"/>
                <w:sz w:val="24"/>
                <w:szCs w:val="24"/>
                <w:lang w:eastAsia="lv-LV"/>
              </w:rPr>
              <w:t>Nr. 575/2013, (ES)</w:t>
            </w:r>
            <w:r w:rsidR="00DB2430" w:rsidRPr="006904A3">
              <w:rPr>
                <w:rFonts w:ascii="Times New Roman" w:eastAsia="Times New Roman" w:hAnsi="Times New Roman" w:cs="Times New Roman"/>
                <w:sz w:val="24"/>
                <w:szCs w:val="24"/>
                <w:lang w:eastAsia="lv-LV"/>
              </w:rPr>
              <w:t> </w:t>
            </w:r>
            <w:r w:rsidR="00E76792" w:rsidRPr="006904A3">
              <w:rPr>
                <w:rFonts w:ascii="Times New Roman" w:eastAsia="Times New Roman" w:hAnsi="Times New Roman" w:cs="Times New Roman"/>
                <w:sz w:val="24"/>
                <w:szCs w:val="24"/>
                <w:lang w:eastAsia="lv-LV"/>
              </w:rPr>
              <w:t>Nr.</w:t>
            </w:r>
            <w:r w:rsidR="00DB2430" w:rsidRPr="006904A3">
              <w:rPr>
                <w:rFonts w:ascii="Times New Roman" w:eastAsia="Times New Roman" w:hAnsi="Times New Roman" w:cs="Times New Roman"/>
                <w:sz w:val="24"/>
                <w:szCs w:val="24"/>
                <w:lang w:eastAsia="lv-LV"/>
              </w:rPr>
              <w:t> </w:t>
            </w:r>
            <w:r w:rsidR="00E76792" w:rsidRPr="006904A3">
              <w:rPr>
                <w:rFonts w:ascii="Times New Roman" w:eastAsia="Times New Roman" w:hAnsi="Times New Roman" w:cs="Times New Roman"/>
                <w:sz w:val="24"/>
                <w:szCs w:val="24"/>
                <w:lang w:eastAsia="lv-LV"/>
              </w:rPr>
              <w:t>600/2014 un (ES)</w:t>
            </w:r>
            <w:r w:rsidR="00DB2430" w:rsidRPr="006904A3">
              <w:rPr>
                <w:rFonts w:ascii="Times New Roman" w:eastAsia="Times New Roman" w:hAnsi="Times New Roman" w:cs="Times New Roman"/>
                <w:sz w:val="24"/>
                <w:szCs w:val="24"/>
                <w:lang w:eastAsia="lv-LV"/>
              </w:rPr>
              <w:t> </w:t>
            </w:r>
            <w:r w:rsidR="00E76792" w:rsidRPr="006904A3">
              <w:rPr>
                <w:rFonts w:ascii="Times New Roman" w:eastAsia="Times New Roman" w:hAnsi="Times New Roman" w:cs="Times New Roman"/>
                <w:sz w:val="24"/>
                <w:szCs w:val="24"/>
                <w:lang w:eastAsia="lv-LV"/>
              </w:rPr>
              <w:t>Nr.</w:t>
            </w:r>
            <w:r w:rsidR="00DB2430" w:rsidRPr="006904A3">
              <w:rPr>
                <w:rFonts w:ascii="Times New Roman" w:eastAsia="Times New Roman" w:hAnsi="Times New Roman" w:cs="Times New Roman"/>
                <w:sz w:val="24"/>
                <w:szCs w:val="24"/>
                <w:lang w:eastAsia="lv-LV"/>
              </w:rPr>
              <w:t> </w:t>
            </w:r>
            <w:r w:rsidR="00E76792" w:rsidRPr="006904A3">
              <w:rPr>
                <w:rFonts w:ascii="Times New Roman" w:eastAsia="Times New Roman" w:hAnsi="Times New Roman" w:cs="Times New Roman"/>
                <w:sz w:val="24"/>
                <w:szCs w:val="24"/>
                <w:lang w:eastAsia="lv-LV"/>
              </w:rPr>
              <w:t>806/2014 (turpmāk</w:t>
            </w:r>
            <w:r w:rsidR="00DB2430" w:rsidRPr="006904A3">
              <w:rPr>
                <w:rFonts w:ascii="Times New Roman" w:eastAsia="Times New Roman" w:hAnsi="Times New Roman" w:cs="Times New Roman"/>
                <w:sz w:val="24"/>
                <w:szCs w:val="24"/>
                <w:lang w:eastAsia="lv-LV"/>
              </w:rPr>
              <w:t> –</w:t>
            </w:r>
            <w:r w:rsidR="00E76792" w:rsidRPr="006904A3">
              <w:rPr>
                <w:rFonts w:ascii="Times New Roman" w:eastAsia="Times New Roman" w:hAnsi="Times New Roman" w:cs="Times New Roman"/>
                <w:sz w:val="24"/>
                <w:szCs w:val="24"/>
                <w:lang w:eastAsia="lv-LV"/>
              </w:rPr>
              <w:t xml:space="preserve"> </w:t>
            </w:r>
            <w:r w:rsidR="003C7FA2" w:rsidRPr="006904A3">
              <w:rPr>
                <w:rFonts w:ascii="Times New Roman" w:eastAsia="Times New Roman" w:hAnsi="Times New Roman" w:cs="Times New Roman"/>
                <w:sz w:val="24"/>
                <w:szCs w:val="24"/>
                <w:lang w:eastAsia="lv-LV"/>
              </w:rPr>
              <w:t>Regula Nr. </w:t>
            </w:r>
            <w:hyperlink r:id="rId11" w:tgtFrame="_blank" w:history="1">
              <w:r w:rsidR="003C7FA2" w:rsidRPr="006904A3">
                <w:rPr>
                  <w:rFonts w:ascii="Times New Roman" w:eastAsia="Times New Roman" w:hAnsi="Times New Roman" w:cs="Times New Roman"/>
                  <w:sz w:val="24"/>
                  <w:szCs w:val="24"/>
                  <w:lang w:eastAsia="lv-LV"/>
                </w:rPr>
                <w:t>2019/2033</w:t>
              </w:r>
            </w:hyperlink>
            <w:r w:rsidR="00E76792" w:rsidRPr="006904A3">
              <w:rPr>
                <w:rFonts w:ascii="Times New Roman" w:eastAsia="Times New Roman" w:hAnsi="Times New Roman" w:cs="Times New Roman"/>
                <w:sz w:val="24"/>
                <w:szCs w:val="24"/>
                <w:lang w:eastAsia="lv-LV"/>
              </w:rPr>
              <w:t xml:space="preserve">) </w:t>
            </w:r>
            <w:r w:rsidR="003C7FA2" w:rsidRPr="006904A3">
              <w:rPr>
                <w:rFonts w:ascii="Times New Roman" w:eastAsia="Times New Roman" w:hAnsi="Times New Roman" w:cs="Times New Roman"/>
                <w:sz w:val="24"/>
                <w:szCs w:val="24"/>
                <w:lang w:eastAsia="lv-LV"/>
              </w:rPr>
              <w:t>51.</w:t>
            </w:r>
            <w:r w:rsidR="00DB2430" w:rsidRPr="006904A3">
              <w:rPr>
                <w:rFonts w:ascii="Times New Roman" w:eastAsia="Times New Roman" w:hAnsi="Times New Roman" w:cs="Times New Roman"/>
                <w:sz w:val="24"/>
                <w:szCs w:val="24"/>
                <w:lang w:eastAsia="lv-LV"/>
              </w:rPr>
              <w:t> </w:t>
            </w:r>
            <w:r w:rsidR="003C7FA2" w:rsidRPr="006904A3">
              <w:rPr>
                <w:rFonts w:ascii="Times New Roman" w:eastAsia="Times New Roman" w:hAnsi="Times New Roman" w:cs="Times New Roman"/>
                <w:sz w:val="24"/>
                <w:szCs w:val="24"/>
                <w:lang w:eastAsia="lv-LV"/>
              </w:rPr>
              <w:t>panta "c" un "d"</w:t>
            </w:r>
            <w:r w:rsidR="00DB2430" w:rsidRPr="006904A3">
              <w:rPr>
                <w:rFonts w:ascii="Times New Roman" w:eastAsia="Times New Roman" w:hAnsi="Times New Roman" w:cs="Times New Roman"/>
                <w:sz w:val="24"/>
                <w:szCs w:val="24"/>
                <w:lang w:eastAsia="lv-LV"/>
              </w:rPr>
              <w:t> </w:t>
            </w:r>
            <w:r w:rsidR="003C7FA2" w:rsidRPr="006904A3">
              <w:rPr>
                <w:rFonts w:ascii="Times New Roman" w:eastAsia="Times New Roman" w:hAnsi="Times New Roman" w:cs="Times New Roman"/>
                <w:sz w:val="24"/>
                <w:szCs w:val="24"/>
                <w:lang w:eastAsia="lv-LV"/>
              </w:rPr>
              <w:t>punkta prasībām, un informāciju, ko šīs ieguldījumu brokeru sabiedrības sniedz par sieviešu un vīriešu atalgojuma atšķirībām, un izvērtēt atalgojuma tendences.</w:t>
            </w:r>
          </w:p>
          <w:p w14:paraId="1470A3BB" w14:textId="6AAB0A58" w:rsidR="00896DBD" w:rsidRPr="005D0C40" w:rsidRDefault="00321D05" w:rsidP="00685AE6">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Pašreiz minēto mērķu sasniegšanu nodrošina </w:t>
            </w:r>
            <w:r w:rsidRPr="00321D05">
              <w:rPr>
                <w:rFonts w:ascii="Times New Roman" w:eastAsia="Times New Roman" w:hAnsi="Times New Roman" w:cs="Times New Roman"/>
                <w:color w:val="000000"/>
                <w:sz w:val="24"/>
                <w:szCs w:val="24"/>
                <w:lang w:eastAsia="lv-LV"/>
              </w:rPr>
              <w:t xml:space="preserve">Finanšu un kapitāla tirgus komisijas </w:t>
            </w:r>
            <w:r w:rsidR="009A7F3C" w:rsidRPr="009A7F3C">
              <w:rPr>
                <w:rFonts w:ascii="Times New Roman" w:eastAsia="Times New Roman" w:hAnsi="Times New Roman" w:cs="Times New Roman"/>
                <w:color w:val="000000"/>
                <w:sz w:val="24"/>
                <w:szCs w:val="24"/>
                <w:lang w:eastAsia="lv-LV"/>
              </w:rPr>
              <w:t>2022.</w:t>
            </w:r>
            <w:r w:rsidR="00DB2430">
              <w:rPr>
                <w:rFonts w:ascii="Times New Roman" w:eastAsia="Times New Roman" w:hAnsi="Times New Roman" w:cs="Times New Roman"/>
                <w:color w:val="000000"/>
                <w:sz w:val="24"/>
                <w:szCs w:val="24"/>
                <w:lang w:eastAsia="lv-LV"/>
              </w:rPr>
              <w:t> </w:t>
            </w:r>
            <w:r w:rsidR="009A7F3C" w:rsidRPr="009A7F3C">
              <w:rPr>
                <w:rFonts w:ascii="Times New Roman" w:eastAsia="Times New Roman" w:hAnsi="Times New Roman" w:cs="Times New Roman"/>
                <w:color w:val="000000"/>
                <w:sz w:val="24"/>
                <w:szCs w:val="24"/>
                <w:lang w:eastAsia="lv-LV"/>
              </w:rPr>
              <w:t>gada 6.</w:t>
            </w:r>
            <w:r w:rsidR="00DB2430">
              <w:rPr>
                <w:rFonts w:ascii="Times New Roman" w:eastAsia="Times New Roman" w:hAnsi="Times New Roman" w:cs="Times New Roman"/>
                <w:color w:val="000000"/>
                <w:sz w:val="24"/>
                <w:szCs w:val="24"/>
                <w:lang w:eastAsia="lv-LV"/>
              </w:rPr>
              <w:t> </w:t>
            </w:r>
            <w:r w:rsidR="009A7F3C" w:rsidRPr="009A7F3C">
              <w:rPr>
                <w:rFonts w:ascii="Times New Roman" w:eastAsia="Times New Roman" w:hAnsi="Times New Roman" w:cs="Times New Roman"/>
                <w:color w:val="000000"/>
                <w:sz w:val="24"/>
                <w:szCs w:val="24"/>
                <w:lang w:eastAsia="lv-LV"/>
              </w:rPr>
              <w:t>septembra normatīv</w:t>
            </w:r>
            <w:r w:rsidR="009A7F3C">
              <w:rPr>
                <w:rFonts w:ascii="Times New Roman" w:eastAsia="Times New Roman" w:hAnsi="Times New Roman" w:cs="Times New Roman"/>
                <w:color w:val="000000"/>
                <w:sz w:val="24"/>
                <w:szCs w:val="24"/>
                <w:lang w:eastAsia="lv-LV"/>
              </w:rPr>
              <w:t>ie</w:t>
            </w:r>
            <w:r w:rsidR="009A7F3C" w:rsidRPr="009A7F3C">
              <w:rPr>
                <w:rFonts w:ascii="Times New Roman" w:eastAsia="Times New Roman" w:hAnsi="Times New Roman" w:cs="Times New Roman"/>
                <w:color w:val="000000"/>
                <w:sz w:val="24"/>
                <w:szCs w:val="24"/>
                <w:lang w:eastAsia="lv-LV"/>
              </w:rPr>
              <w:t xml:space="preserve"> noteikumi Nr.</w:t>
            </w:r>
            <w:r w:rsidR="00DB2430">
              <w:rPr>
                <w:rFonts w:ascii="Times New Roman" w:eastAsia="Times New Roman" w:hAnsi="Times New Roman" w:cs="Times New Roman"/>
                <w:color w:val="000000"/>
                <w:sz w:val="24"/>
                <w:szCs w:val="24"/>
                <w:lang w:eastAsia="lv-LV"/>
              </w:rPr>
              <w:t> </w:t>
            </w:r>
            <w:r w:rsidR="009A7F3C" w:rsidRPr="009A7F3C">
              <w:rPr>
                <w:rFonts w:ascii="Times New Roman" w:eastAsia="Times New Roman" w:hAnsi="Times New Roman" w:cs="Times New Roman"/>
                <w:color w:val="000000"/>
                <w:sz w:val="24"/>
                <w:szCs w:val="24"/>
                <w:lang w:eastAsia="lv-LV"/>
              </w:rPr>
              <w:t>162 "Normatīvie noteikumi par ieguldījumu brokeru sabiedrību atalgojuma politiku un praksi"</w:t>
            </w:r>
            <w:r w:rsidR="009A7F3C">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(turpmāk</w:t>
            </w:r>
            <w:r w:rsidR="00DB2430">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 noteikumi</w:t>
            </w:r>
            <w:r w:rsidR="009A7F3C">
              <w:rPr>
                <w:rFonts w:ascii="Times New Roman" w:eastAsia="Times New Roman" w:hAnsi="Times New Roman" w:cs="Times New Roman"/>
                <w:color w:val="000000"/>
                <w:sz w:val="24"/>
                <w:szCs w:val="24"/>
                <w:lang w:eastAsia="lv-LV"/>
              </w:rPr>
              <w:t xml:space="preserve"> Nr.</w:t>
            </w:r>
            <w:r w:rsidR="00DB2430">
              <w:rPr>
                <w:rFonts w:ascii="Times New Roman" w:eastAsia="Times New Roman" w:hAnsi="Times New Roman" w:cs="Times New Roman"/>
                <w:color w:val="000000"/>
                <w:sz w:val="24"/>
                <w:szCs w:val="24"/>
                <w:lang w:eastAsia="lv-LV"/>
              </w:rPr>
              <w:t> </w:t>
            </w:r>
            <w:r w:rsidR="009A7F3C">
              <w:rPr>
                <w:rFonts w:ascii="Times New Roman" w:eastAsia="Times New Roman" w:hAnsi="Times New Roman" w:cs="Times New Roman"/>
                <w:color w:val="000000"/>
                <w:sz w:val="24"/>
                <w:szCs w:val="24"/>
                <w:lang w:eastAsia="lv-LV"/>
              </w:rPr>
              <w:t>162</w:t>
            </w:r>
            <w:r>
              <w:rPr>
                <w:rFonts w:ascii="Times New Roman" w:eastAsia="Times New Roman" w:hAnsi="Times New Roman" w:cs="Times New Roman"/>
                <w:color w:val="000000"/>
                <w:sz w:val="24"/>
                <w:szCs w:val="24"/>
                <w:lang w:eastAsia="lv-LV"/>
              </w:rPr>
              <w:t>), taču s</w:t>
            </w:r>
            <w:r w:rsidR="00896DBD" w:rsidRPr="005D0C40">
              <w:rPr>
                <w:rFonts w:ascii="Times New Roman" w:eastAsia="Times New Roman" w:hAnsi="Times New Roman" w:cs="Times New Roman"/>
                <w:color w:val="000000"/>
                <w:sz w:val="24"/>
                <w:szCs w:val="24"/>
                <w:lang w:eastAsia="lv-LV"/>
              </w:rPr>
              <w:t>askaņā ar Latvijas Bankas likuma pārejas noteikumu 3.</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 xml:space="preserve">punktu Finanšu un kapitāla tirgus komisijas līdz </w:t>
            </w:r>
            <w:r>
              <w:rPr>
                <w:rFonts w:ascii="Times New Roman" w:eastAsia="Times New Roman" w:hAnsi="Times New Roman" w:cs="Times New Roman"/>
                <w:color w:val="000000"/>
                <w:sz w:val="24"/>
                <w:szCs w:val="24"/>
                <w:lang w:eastAsia="lv-LV"/>
              </w:rPr>
              <w:t>2022. gada 31. decembrim</w:t>
            </w:r>
            <w:r w:rsidRPr="005D0C40" w:rsidDel="00321D05">
              <w:rPr>
                <w:rFonts w:ascii="Times New Roman" w:eastAsia="Times New Roman" w:hAnsi="Times New Roman" w:cs="Times New Roman"/>
                <w:color w:val="000000"/>
                <w:sz w:val="24"/>
                <w:szCs w:val="24"/>
                <w:lang w:eastAsia="lv-LV"/>
              </w:rPr>
              <w:t xml:space="preserve"> </w:t>
            </w:r>
            <w:r w:rsidR="00896DBD" w:rsidRPr="005D0C40">
              <w:rPr>
                <w:rFonts w:ascii="Times New Roman" w:eastAsia="Times New Roman" w:hAnsi="Times New Roman" w:cs="Times New Roman"/>
                <w:color w:val="000000"/>
                <w:sz w:val="24"/>
                <w:szCs w:val="24"/>
                <w:lang w:eastAsia="lv-LV"/>
              </w:rPr>
              <w:t>izdotie ārējie normatīvie akti piemērojami līdz dienai, kad stājas spēkā attiecīgie Latvijas Bankas ārējie normatīvie akti, bet ne ilgāk kā līdz 2024.</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gada 31.</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decembrim.</w:t>
            </w:r>
          </w:p>
          <w:p w14:paraId="39B0CFE6" w14:textId="75E8DB3F" w:rsidR="008E5DA7" w:rsidRDefault="00896DBD" w:rsidP="00685AE6">
            <w:pPr>
              <w:spacing w:after="120" w:line="240" w:lineRule="auto"/>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Ņemot vērā minēto, Latvijas Banka ir izstrādājusi noteikumu projektu "</w:t>
            </w:r>
            <w:r w:rsidR="009A7F3C" w:rsidRPr="008471F6">
              <w:rPr>
                <w:rFonts w:ascii="Times New Roman" w:eastAsia="Times New Roman" w:hAnsi="Times New Roman" w:cs="Times New Roman"/>
                <w:sz w:val="24"/>
                <w:szCs w:val="24"/>
                <w:lang w:eastAsia="lv-LV"/>
              </w:rPr>
              <w:t xml:space="preserve">Noteikumi par </w:t>
            </w:r>
            <w:r w:rsidR="009A7F3C" w:rsidRPr="005F7A8B">
              <w:rPr>
                <w:rFonts w:ascii="Times New Roman" w:eastAsia="Times New Roman" w:hAnsi="Times New Roman" w:cs="Times New Roman"/>
                <w:sz w:val="24"/>
                <w:szCs w:val="24"/>
                <w:lang w:eastAsia="lv-LV"/>
              </w:rPr>
              <w:t xml:space="preserve">ieguldījumu brokeru sabiedrību </w:t>
            </w:r>
            <w:r w:rsidR="009A7F3C" w:rsidRPr="008471F6">
              <w:rPr>
                <w:rFonts w:ascii="Times New Roman" w:eastAsia="Times New Roman" w:hAnsi="Times New Roman" w:cs="Times New Roman"/>
                <w:sz w:val="24"/>
                <w:szCs w:val="24"/>
                <w:lang w:eastAsia="lv-LV"/>
              </w:rPr>
              <w:t>atalgojuma politiku un praksi</w:t>
            </w:r>
            <w:r w:rsidRPr="005D0C40">
              <w:rPr>
                <w:rFonts w:ascii="Times New Roman" w:eastAsia="Times New Roman" w:hAnsi="Times New Roman" w:cs="Times New Roman"/>
                <w:color w:val="000000"/>
                <w:sz w:val="24"/>
                <w:szCs w:val="24"/>
                <w:lang w:eastAsia="lv-LV"/>
              </w:rPr>
              <w:t>" (turpmāk</w:t>
            </w:r>
            <w:r w:rsidR="00882736" w:rsidRPr="005D0C40">
              <w:rPr>
                <w:rFonts w:ascii="Times New Roman" w:eastAsia="Times New Roman" w:hAnsi="Times New Roman" w:cs="Times New Roman"/>
                <w:color w:val="000000"/>
                <w:sz w:val="24"/>
                <w:szCs w:val="24"/>
                <w:lang w:eastAsia="lv-LV"/>
              </w:rPr>
              <w:t> </w:t>
            </w:r>
            <w:r w:rsidRPr="005D0C40">
              <w:rPr>
                <w:rFonts w:ascii="Times New Roman" w:eastAsia="Times New Roman" w:hAnsi="Times New Roman" w:cs="Times New Roman"/>
                <w:color w:val="000000"/>
                <w:sz w:val="24"/>
                <w:szCs w:val="24"/>
                <w:lang w:eastAsia="lv-LV"/>
              </w:rPr>
              <w:t>– noteikumu projekts), kas</w:t>
            </w:r>
            <w:r w:rsidR="00591CBF" w:rsidRPr="005D0C40">
              <w:rPr>
                <w:rFonts w:ascii="Times New Roman" w:eastAsia="Times New Roman" w:hAnsi="Times New Roman" w:cs="Times New Roman"/>
                <w:color w:val="000000"/>
                <w:sz w:val="24"/>
                <w:szCs w:val="24"/>
                <w:lang w:eastAsia="lv-LV"/>
              </w:rPr>
              <w:t xml:space="preserve"> </w:t>
            </w:r>
            <w:r w:rsidRPr="005D0C40">
              <w:rPr>
                <w:rFonts w:ascii="Times New Roman" w:eastAsia="Times New Roman" w:hAnsi="Times New Roman" w:cs="Times New Roman"/>
                <w:color w:val="000000"/>
                <w:sz w:val="24"/>
                <w:szCs w:val="24"/>
                <w:lang w:eastAsia="lv-LV"/>
              </w:rPr>
              <w:t>aizstās</w:t>
            </w:r>
            <w:r w:rsidR="006A2A11" w:rsidRPr="005D0C40">
              <w:rPr>
                <w:rFonts w:ascii="Times New Roman" w:eastAsia="Times New Roman" w:hAnsi="Times New Roman" w:cs="Times New Roman"/>
                <w:color w:val="000000"/>
                <w:sz w:val="24"/>
                <w:szCs w:val="24"/>
                <w:lang w:eastAsia="lv-LV"/>
              </w:rPr>
              <w:t xml:space="preserve"> </w:t>
            </w:r>
            <w:r w:rsidR="00591CBF" w:rsidRPr="005D0C40">
              <w:rPr>
                <w:rFonts w:ascii="Times New Roman" w:eastAsia="Times New Roman" w:hAnsi="Times New Roman" w:cs="Times New Roman"/>
                <w:color w:val="000000"/>
                <w:sz w:val="24"/>
                <w:szCs w:val="24"/>
                <w:lang w:eastAsia="lv-LV"/>
              </w:rPr>
              <w:t>noteikumus</w:t>
            </w:r>
            <w:r w:rsidR="009A7F3C">
              <w:rPr>
                <w:rFonts w:ascii="Times New Roman" w:eastAsia="Times New Roman" w:hAnsi="Times New Roman" w:cs="Times New Roman"/>
                <w:color w:val="000000"/>
                <w:sz w:val="24"/>
                <w:szCs w:val="24"/>
                <w:lang w:eastAsia="lv-LV"/>
              </w:rPr>
              <w:t xml:space="preserve"> Nr.</w:t>
            </w:r>
            <w:r w:rsidR="00DB2430">
              <w:rPr>
                <w:rFonts w:ascii="Times New Roman" w:eastAsia="Times New Roman" w:hAnsi="Times New Roman" w:cs="Times New Roman"/>
                <w:color w:val="000000"/>
                <w:sz w:val="24"/>
                <w:szCs w:val="24"/>
                <w:lang w:eastAsia="lv-LV"/>
              </w:rPr>
              <w:t> </w:t>
            </w:r>
            <w:r w:rsidR="009A7F3C">
              <w:rPr>
                <w:rFonts w:ascii="Times New Roman" w:eastAsia="Times New Roman" w:hAnsi="Times New Roman" w:cs="Times New Roman"/>
                <w:color w:val="000000"/>
                <w:sz w:val="24"/>
                <w:szCs w:val="24"/>
                <w:lang w:eastAsia="lv-LV"/>
              </w:rPr>
              <w:t>162</w:t>
            </w:r>
            <w:r w:rsidR="008E5DA7">
              <w:rPr>
                <w:rFonts w:ascii="Times New Roman" w:eastAsia="Times New Roman" w:hAnsi="Times New Roman" w:cs="Times New Roman"/>
                <w:color w:val="000000"/>
                <w:sz w:val="24"/>
                <w:szCs w:val="24"/>
                <w:lang w:eastAsia="lv-LV"/>
              </w:rPr>
              <w:t>.</w:t>
            </w:r>
          </w:p>
          <w:p w14:paraId="78970CCE" w14:textId="5CB406D3" w:rsidR="008903D6" w:rsidRPr="00945BEA" w:rsidRDefault="008E5DA7" w:rsidP="00685AE6">
            <w:pPr>
              <w:spacing w:after="120" w:line="240" w:lineRule="auto"/>
              <w:jc w:val="both"/>
              <w:rPr>
                <w:rFonts w:ascii="Times New Roman" w:eastAsia="Times New Roman" w:hAnsi="Times New Roman" w:cs="Times New Roman"/>
                <w:color w:val="000000"/>
                <w:sz w:val="24"/>
                <w:szCs w:val="24"/>
                <w:lang w:eastAsia="lv-LV"/>
              </w:rPr>
            </w:pPr>
            <w:r w:rsidRPr="00945BEA">
              <w:rPr>
                <w:rFonts w:ascii="Times New Roman" w:eastAsia="Times New Roman" w:hAnsi="Times New Roman" w:cs="Times New Roman"/>
                <w:color w:val="000000"/>
                <w:sz w:val="24"/>
                <w:szCs w:val="24"/>
                <w:lang w:eastAsia="lv-LV"/>
              </w:rPr>
              <w:t>T</w:t>
            </w:r>
            <w:r w:rsidR="004F2CCA" w:rsidRPr="00945BEA">
              <w:rPr>
                <w:rFonts w:ascii="Times New Roman" w:eastAsia="Times New Roman" w:hAnsi="Times New Roman" w:cs="Times New Roman"/>
                <w:color w:val="000000"/>
                <w:sz w:val="24"/>
                <w:szCs w:val="24"/>
                <w:lang w:eastAsia="lv-LV"/>
              </w:rPr>
              <w:t xml:space="preserve">āpat kā </w:t>
            </w:r>
            <w:r w:rsidRPr="00945BEA">
              <w:rPr>
                <w:rFonts w:ascii="Times New Roman" w:eastAsia="Times New Roman" w:hAnsi="Times New Roman" w:cs="Times New Roman"/>
                <w:color w:val="000000"/>
                <w:sz w:val="24"/>
                <w:szCs w:val="24"/>
                <w:lang w:eastAsia="lv-LV"/>
              </w:rPr>
              <w:t>noteikum</w:t>
            </w:r>
            <w:r w:rsidR="00550114">
              <w:rPr>
                <w:rFonts w:ascii="Times New Roman" w:eastAsia="Times New Roman" w:hAnsi="Times New Roman" w:cs="Times New Roman"/>
                <w:color w:val="000000"/>
                <w:sz w:val="24"/>
                <w:szCs w:val="24"/>
                <w:lang w:eastAsia="lv-LV"/>
              </w:rPr>
              <w:t>u</w:t>
            </w:r>
            <w:r w:rsidRPr="00945BEA">
              <w:rPr>
                <w:rFonts w:ascii="Times New Roman" w:eastAsia="Times New Roman" w:hAnsi="Times New Roman" w:cs="Times New Roman"/>
                <w:color w:val="000000"/>
                <w:sz w:val="24"/>
                <w:szCs w:val="24"/>
                <w:lang w:eastAsia="lv-LV"/>
              </w:rPr>
              <w:t xml:space="preserve"> Nr. 162</w:t>
            </w:r>
            <w:r w:rsidR="00550114">
              <w:rPr>
                <w:rFonts w:ascii="Times New Roman" w:eastAsia="Times New Roman" w:hAnsi="Times New Roman" w:cs="Times New Roman"/>
                <w:color w:val="000000"/>
                <w:sz w:val="24"/>
                <w:szCs w:val="24"/>
                <w:lang w:eastAsia="lv-LV"/>
              </w:rPr>
              <w:t xml:space="preserve"> prasības arī</w:t>
            </w:r>
            <w:r w:rsidRPr="00945BEA">
              <w:rPr>
                <w:rFonts w:ascii="Times New Roman" w:eastAsia="Times New Roman" w:hAnsi="Times New Roman" w:cs="Times New Roman"/>
                <w:color w:val="000000"/>
                <w:sz w:val="24"/>
                <w:szCs w:val="24"/>
                <w:lang w:eastAsia="lv-LV"/>
              </w:rPr>
              <w:t xml:space="preserve"> noteikumu projekta </w:t>
            </w:r>
            <w:r w:rsidR="00DD54AE" w:rsidRPr="00945BEA">
              <w:rPr>
                <w:rFonts w:ascii="Times New Roman" w:eastAsia="Times New Roman" w:hAnsi="Times New Roman" w:cs="Times New Roman"/>
                <w:color w:val="000000"/>
                <w:sz w:val="24"/>
                <w:szCs w:val="24"/>
                <w:lang w:eastAsia="lv-LV"/>
              </w:rPr>
              <w:t>prasības būs saistošas</w:t>
            </w:r>
            <w:r w:rsidR="00BF47B0">
              <w:rPr>
                <w:rFonts w:ascii="Times New Roman" w:eastAsia="Times New Roman" w:hAnsi="Times New Roman" w:cs="Times New Roman"/>
                <w:color w:val="000000"/>
                <w:sz w:val="24"/>
                <w:szCs w:val="24"/>
                <w:lang w:eastAsia="lv-LV"/>
              </w:rPr>
              <w:t xml:space="preserve"> šādiem finanšu tirgus dalībniekiem (turpmāk – iestāde)</w:t>
            </w:r>
            <w:r w:rsidR="008903D6" w:rsidRPr="00945BEA">
              <w:rPr>
                <w:rFonts w:ascii="Times New Roman" w:eastAsia="Times New Roman" w:hAnsi="Times New Roman" w:cs="Times New Roman"/>
                <w:color w:val="000000"/>
                <w:sz w:val="24"/>
                <w:szCs w:val="24"/>
                <w:lang w:eastAsia="lv-LV"/>
              </w:rPr>
              <w:t>:</w:t>
            </w:r>
          </w:p>
          <w:p w14:paraId="7AF454E9" w14:textId="77777777" w:rsidR="004826F2" w:rsidRDefault="009A7F3C" w:rsidP="00984C9C">
            <w:pPr>
              <w:pStyle w:val="ListParagraph"/>
              <w:numPr>
                <w:ilvl w:val="0"/>
                <w:numId w:val="15"/>
              </w:numPr>
              <w:tabs>
                <w:tab w:val="left" w:pos="378"/>
              </w:tabs>
              <w:spacing w:after="120" w:line="240" w:lineRule="auto"/>
              <w:ind w:left="0" w:firstLine="0"/>
              <w:contextualSpacing w:val="0"/>
              <w:jc w:val="both"/>
              <w:rPr>
                <w:rFonts w:ascii="Times New Roman" w:eastAsia="Times New Roman" w:hAnsi="Times New Roman" w:cs="Times New Roman"/>
                <w:sz w:val="24"/>
                <w:szCs w:val="24"/>
                <w:lang w:eastAsia="lv-LV"/>
              </w:rPr>
            </w:pPr>
            <w:r w:rsidRPr="00E81B93">
              <w:rPr>
                <w:rFonts w:ascii="Times New Roman" w:eastAsia="Times New Roman" w:hAnsi="Times New Roman" w:cs="Times New Roman"/>
                <w:color w:val="000000"/>
                <w:sz w:val="24"/>
                <w:szCs w:val="24"/>
                <w:lang w:eastAsia="lv-LV"/>
              </w:rPr>
              <w:t>Latvijas</w:t>
            </w:r>
            <w:r w:rsidRPr="00E81B93">
              <w:rPr>
                <w:rFonts w:ascii="Times New Roman" w:eastAsia="Times New Roman" w:hAnsi="Times New Roman" w:cs="Times New Roman"/>
                <w:sz w:val="24"/>
                <w:szCs w:val="24"/>
                <w:lang w:eastAsia="lv-LV"/>
              </w:rPr>
              <w:t xml:space="preserve"> Republikā licencētām ieguldījumu brokeru sabiedrībām, </w:t>
            </w:r>
            <w:r w:rsidR="00E81B93">
              <w:rPr>
                <w:rFonts w:ascii="Times New Roman" w:eastAsia="Times New Roman" w:hAnsi="Times New Roman" w:cs="Times New Roman"/>
                <w:sz w:val="24"/>
                <w:szCs w:val="24"/>
                <w:lang w:eastAsia="lv-LV"/>
              </w:rPr>
              <w:t>izņemot</w:t>
            </w:r>
            <w:r w:rsidR="004826F2">
              <w:rPr>
                <w:rFonts w:ascii="Times New Roman" w:eastAsia="Times New Roman" w:hAnsi="Times New Roman" w:cs="Times New Roman"/>
                <w:sz w:val="24"/>
                <w:szCs w:val="24"/>
                <w:lang w:eastAsia="lv-LV"/>
              </w:rPr>
              <w:t>:</w:t>
            </w:r>
          </w:p>
          <w:p w14:paraId="28F998AA" w14:textId="2B6D1CEB" w:rsidR="004826F2" w:rsidRDefault="004826F2" w:rsidP="004826F2">
            <w:pPr>
              <w:pStyle w:val="ListParagraph"/>
              <w:tabs>
                <w:tab w:val="left" w:pos="378"/>
              </w:tabs>
              <w:spacing w:after="120" w:line="240" w:lineRule="auto"/>
              <w:ind w:left="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00984C9C">
              <w:rPr>
                <w:rFonts w:ascii="Times New Roman" w:eastAsia="Times New Roman" w:hAnsi="Times New Roman" w:cs="Times New Roman"/>
                <w:sz w:val="24"/>
                <w:szCs w:val="24"/>
                <w:lang w:eastAsia="lv-LV"/>
              </w:rPr>
              <w:t xml:space="preserve"> </w:t>
            </w:r>
            <w:r w:rsidR="009A7F3C" w:rsidRPr="00586CFC">
              <w:rPr>
                <w:rFonts w:ascii="Times New Roman" w:eastAsia="Times New Roman" w:hAnsi="Times New Roman" w:cs="Times New Roman"/>
                <w:sz w:val="24"/>
                <w:szCs w:val="24"/>
                <w:lang w:eastAsia="lv-LV"/>
              </w:rPr>
              <w:t xml:space="preserve">nelielas un savstarpēji nesaistītas </w:t>
            </w:r>
            <w:r w:rsidR="00E81B93" w:rsidRPr="00586CFC">
              <w:rPr>
                <w:rFonts w:ascii="Times New Roman" w:eastAsia="Times New Roman" w:hAnsi="Times New Roman" w:cs="Times New Roman"/>
                <w:sz w:val="24"/>
                <w:szCs w:val="24"/>
                <w:lang w:eastAsia="lv-LV"/>
              </w:rPr>
              <w:t xml:space="preserve">ieguldījumu brokeru sabiedrības </w:t>
            </w:r>
            <w:r w:rsidR="009A7F3C" w:rsidRPr="00586CFC">
              <w:rPr>
                <w:rFonts w:ascii="Times New Roman" w:eastAsia="Times New Roman" w:hAnsi="Times New Roman" w:cs="Times New Roman"/>
                <w:sz w:val="24"/>
                <w:szCs w:val="24"/>
                <w:lang w:eastAsia="lv-LV"/>
              </w:rPr>
              <w:t>Regulas Nr.</w:t>
            </w:r>
            <w:r w:rsidR="00DB2430" w:rsidRPr="00586CFC">
              <w:rPr>
                <w:rFonts w:ascii="Times New Roman" w:eastAsia="Times New Roman" w:hAnsi="Times New Roman" w:cs="Times New Roman"/>
                <w:sz w:val="24"/>
                <w:szCs w:val="24"/>
                <w:lang w:eastAsia="lv-LV"/>
              </w:rPr>
              <w:t> </w:t>
            </w:r>
            <w:r w:rsidR="009A7F3C" w:rsidRPr="00586CFC">
              <w:rPr>
                <w:rFonts w:ascii="Times New Roman" w:eastAsia="Times New Roman" w:hAnsi="Times New Roman" w:cs="Times New Roman"/>
                <w:sz w:val="24"/>
                <w:szCs w:val="24"/>
                <w:lang w:eastAsia="lv-LV"/>
              </w:rPr>
              <w:t>2019/2033 12.</w:t>
            </w:r>
            <w:r w:rsidR="00F23C19" w:rsidRPr="00586CFC">
              <w:rPr>
                <w:rFonts w:ascii="Times New Roman" w:eastAsia="Times New Roman" w:hAnsi="Times New Roman" w:cs="Times New Roman"/>
                <w:sz w:val="24"/>
                <w:szCs w:val="24"/>
                <w:lang w:eastAsia="lv-LV"/>
              </w:rPr>
              <w:t> </w:t>
            </w:r>
            <w:r w:rsidR="009A7F3C" w:rsidRPr="00586CFC">
              <w:rPr>
                <w:rFonts w:ascii="Times New Roman" w:eastAsia="Times New Roman" w:hAnsi="Times New Roman" w:cs="Times New Roman"/>
                <w:sz w:val="24"/>
                <w:szCs w:val="24"/>
                <w:lang w:eastAsia="lv-LV"/>
              </w:rPr>
              <w:t>panta</w:t>
            </w:r>
            <w:r w:rsidR="00E81B93" w:rsidRPr="00586CFC">
              <w:rPr>
                <w:rFonts w:ascii="Times New Roman" w:eastAsia="Times New Roman" w:hAnsi="Times New Roman" w:cs="Times New Roman"/>
                <w:sz w:val="24"/>
                <w:szCs w:val="24"/>
                <w:lang w:eastAsia="lv-LV"/>
              </w:rPr>
              <w:t xml:space="preserve"> izpratnē</w:t>
            </w:r>
            <w:r w:rsidR="006E4020">
              <w:rPr>
                <w:rFonts w:ascii="Times New Roman" w:eastAsia="Times New Roman" w:hAnsi="Times New Roman" w:cs="Times New Roman"/>
                <w:sz w:val="24"/>
                <w:szCs w:val="24"/>
                <w:lang w:eastAsia="lv-LV"/>
              </w:rPr>
              <w:t xml:space="preserve">, jo </w:t>
            </w:r>
            <w:r w:rsidR="006E4020" w:rsidRPr="00282821">
              <w:rPr>
                <w:rFonts w:ascii="Times New Roman" w:eastAsia="Times New Roman" w:hAnsi="Times New Roman" w:cs="Times New Roman"/>
                <w:sz w:val="24"/>
                <w:szCs w:val="24"/>
                <w:lang w:eastAsia="lv-LV"/>
              </w:rPr>
              <w:t>Ieguldījumu brokeru sabiedrību likuma</w:t>
            </w:r>
            <w:r w:rsidR="006E4020">
              <w:rPr>
                <w:rFonts w:ascii="Times New Roman" w:eastAsia="Times New Roman" w:hAnsi="Times New Roman" w:cs="Times New Roman"/>
                <w:sz w:val="24"/>
                <w:szCs w:val="24"/>
                <w:lang w:eastAsia="lv-LV"/>
              </w:rPr>
              <w:t xml:space="preserve"> 32. panta pirmā daļa paredz, ka i</w:t>
            </w:r>
            <w:r w:rsidR="006E4020" w:rsidRPr="006E4020">
              <w:rPr>
                <w:rFonts w:ascii="Times New Roman" w:eastAsia="Times New Roman" w:hAnsi="Times New Roman" w:cs="Times New Roman"/>
                <w:sz w:val="24"/>
                <w:szCs w:val="24"/>
                <w:lang w:eastAsia="lv-LV"/>
              </w:rPr>
              <w:t>eguldījumu brokeru sabiedrībai, kas ir uzskatāma par nelielu un savstarpēji nesaistītu ieguldījumu brokeru sabiedrību atbilstoši Regulas Nr.</w:t>
            </w:r>
            <w:r w:rsidR="006E4020">
              <w:rPr>
                <w:rFonts w:ascii="Times New Roman" w:eastAsia="Times New Roman" w:hAnsi="Times New Roman" w:cs="Times New Roman"/>
                <w:sz w:val="24"/>
                <w:szCs w:val="24"/>
                <w:lang w:eastAsia="lv-LV"/>
              </w:rPr>
              <w:t> </w:t>
            </w:r>
            <w:r w:rsidR="006E4020" w:rsidRPr="006E4020">
              <w:rPr>
                <w:rFonts w:ascii="Times New Roman" w:eastAsia="Times New Roman" w:hAnsi="Times New Roman" w:cs="Times New Roman"/>
                <w:sz w:val="24"/>
                <w:szCs w:val="24"/>
                <w:lang w:eastAsia="lv-LV"/>
              </w:rPr>
              <w:t>2019/2033 12.</w:t>
            </w:r>
            <w:r w:rsidR="006E4020">
              <w:rPr>
                <w:rFonts w:ascii="Times New Roman" w:eastAsia="Times New Roman" w:hAnsi="Times New Roman" w:cs="Times New Roman"/>
                <w:sz w:val="24"/>
                <w:szCs w:val="24"/>
                <w:lang w:eastAsia="lv-LV"/>
              </w:rPr>
              <w:t> </w:t>
            </w:r>
            <w:r w:rsidR="006E4020" w:rsidRPr="006E4020">
              <w:rPr>
                <w:rFonts w:ascii="Times New Roman" w:eastAsia="Times New Roman" w:hAnsi="Times New Roman" w:cs="Times New Roman"/>
                <w:sz w:val="24"/>
                <w:szCs w:val="24"/>
                <w:lang w:eastAsia="lv-LV"/>
              </w:rPr>
              <w:t xml:space="preserve">pantam, </w:t>
            </w:r>
            <w:r w:rsidR="006E4020" w:rsidRPr="006E4020">
              <w:rPr>
                <w:rFonts w:ascii="Times New Roman" w:eastAsia="Times New Roman" w:hAnsi="Times New Roman" w:cs="Times New Roman"/>
                <w:sz w:val="24"/>
                <w:szCs w:val="24"/>
                <w:lang w:eastAsia="lv-LV"/>
              </w:rPr>
              <w:lastRenderedPageBreak/>
              <w:t>nepiemēro šā likuma 31.</w:t>
            </w:r>
            <w:r w:rsidR="006E4020">
              <w:rPr>
                <w:rFonts w:ascii="Times New Roman" w:eastAsia="Times New Roman" w:hAnsi="Times New Roman" w:cs="Times New Roman"/>
                <w:sz w:val="24"/>
                <w:szCs w:val="24"/>
                <w:lang w:eastAsia="lv-LV"/>
              </w:rPr>
              <w:t> </w:t>
            </w:r>
            <w:r w:rsidR="006E4020" w:rsidRPr="006E4020">
              <w:rPr>
                <w:rFonts w:ascii="Times New Roman" w:eastAsia="Times New Roman" w:hAnsi="Times New Roman" w:cs="Times New Roman"/>
                <w:sz w:val="24"/>
                <w:szCs w:val="24"/>
                <w:lang w:eastAsia="lv-LV"/>
              </w:rPr>
              <w:t>panta pirmās daļas 14.</w:t>
            </w:r>
            <w:r w:rsidR="006E4020">
              <w:rPr>
                <w:rFonts w:ascii="Times New Roman" w:eastAsia="Times New Roman" w:hAnsi="Times New Roman" w:cs="Times New Roman"/>
                <w:sz w:val="24"/>
                <w:szCs w:val="24"/>
                <w:lang w:eastAsia="lv-LV"/>
              </w:rPr>
              <w:t> </w:t>
            </w:r>
            <w:r w:rsidR="006E4020" w:rsidRPr="006E4020">
              <w:rPr>
                <w:rFonts w:ascii="Times New Roman" w:eastAsia="Times New Roman" w:hAnsi="Times New Roman" w:cs="Times New Roman"/>
                <w:sz w:val="24"/>
                <w:szCs w:val="24"/>
                <w:lang w:eastAsia="lv-LV"/>
              </w:rPr>
              <w:t>punkta, 36. un 37.</w:t>
            </w:r>
            <w:r w:rsidR="006E4020">
              <w:rPr>
                <w:rFonts w:ascii="Times New Roman" w:eastAsia="Times New Roman" w:hAnsi="Times New Roman" w:cs="Times New Roman"/>
                <w:sz w:val="24"/>
                <w:szCs w:val="24"/>
                <w:lang w:eastAsia="lv-LV"/>
              </w:rPr>
              <w:t> </w:t>
            </w:r>
            <w:r w:rsidR="006E4020" w:rsidRPr="006E4020">
              <w:rPr>
                <w:rFonts w:ascii="Times New Roman" w:eastAsia="Times New Roman" w:hAnsi="Times New Roman" w:cs="Times New Roman"/>
                <w:sz w:val="24"/>
                <w:szCs w:val="24"/>
                <w:lang w:eastAsia="lv-LV"/>
              </w:rPr>
              <w:t>panta prasības</w:t>
            </w:r>
            <w:r>
              <w:rPr>
                <w:rFonts w:ascii="Times New Roman" w:eastAsia="Times New Roman" w:hAnsi="Times New Roman" w:cs="Times New Roman"/>
                <w:sz w:val="24"/>
                <w:szCs w:val="24"/>
                <w:lang w:eastAsia="lv-LV"/>
              </w:rPr>
              <w:t>;</w:t>
            </w:r>
          </w:p>
          <w:p w14:paraId="1D19D2D3" w14:textId="5DC7AC9C" w:rsidR="00E81B93" w:rsidRPr="00984C9C" w:rsidRDefault="004826F2" w:rsidP="004826F2">
            <w:pPr>
              <w:pStyle w:val="ListParagraph"/>
              <w:tabs>
                <w:tab w:val="left" w:pos="378"/>
              </w:tabs>
              <w:spacing w:after="120" w:line="240" w:lineRule="auto"/>
              <w:ind w:left="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9A7F3C" w:rsidRPr="00EE6BE8">
              <w:rPr>
                <w:rFonts w:ascii="Times New Roman" w:eastAsia="Times New Roman" w:hAnsi="Times New Roman" w:cs="Times New Roman"/>
                <w:sz w:val="24"/>
                <w:szCs w:val="24"/>
                <w:lang w:eastAsia="lv-LV"/>
              </w:rPr>
              <w:t>Ieguldījumu brokeru sabiedrību likuma 3.</w:t>
            </w:r>
            <w:r w:rsidR="00DB2430" w:rsidRPr="00EE6BE8">
              <w:rPr>
                <w:rFonts w:ascii="Times New Roman" w:eastAsia="Times New Roman" w:hAnsi="Times New Roman" w:cs="Times New Roman"/>
                <w:sz w:val="24"/>
                <w:szCs w:val="24"/>
                <w:lang w:eastAsia="lv-LV"/>
              </w:rPr>
              <w:t> </w:t>
            </w:r>
            <w:r w:rsidR="009A7F3C" w:rsidRPr="00EE6BE8">
              <w:rPr>
                <w:rFonts w:ascii="Times New Roman" w:eastAsia="Times New Roman" w:hAnsi="Times New Roman" w:cs="Times New Roman"/>
                <w:sz w:val="24"/>
                <w:szCs w:val="24"/>
                <w:lang w:eastAsia="lv-LV"/>
              </w:rPr>
              <w:t xml:space="preserve">panta trešajā un </w:t>
            </w:r>
            <w:r w:rsidR="009A7F3C" w:rsidRPr="00586CFC">
              <w:rPr>
                <w:rFonts w:ascii="Times New Roman" w:eastAsia="Times New Roman" w:hAnsi="Times New Roman" w:cs="Times New Roman"/>
                <w:sz w:val="24"/>
                <w:szCs w:val="24"/>
                <w:lang w:eastAsia="lv-LV"/>
              </w:rPr>
              <w:t>ceturtajā daļā minētās ieguldījumu brokeru sabiedrības</w:t>
            </w:r>
            <w:r w:rsidR="00202BC7">
              <w:rPr>
                <w:rFonts w:ascii="Times New Roman" w:eastAsia="Times New Roman" w:hAnsi="Times New Roman" w:cs="Times New Roman"/>
                <w:sz w:val="24"/>
                <w:szCs w:val="24"/>
                <w:lang w:eastAsia="lv-LV"/>
              </w:rPr>
              <w:t xml:space="preserve">, ņemot vērā </w:t>
            </w:r>
            <w:r w:rsidR="00202BC7" w:rsidRPr="00282821">
              <w:rPr>
                <w:rFonts w:ascii="Times New Roman" w:eastAsia="Times New Roman" w:hAnsi="Times New Roman" w:cs="Times New Roman"/>
                <w:sz w:val="24"/>
                <w:szCs w:val="24"/>
                <w:lang w:eastAsia="lv-LV"/>
              </w:rPr>
              <w:t>Ieguldījumu brokeru sabiedrību likuma 3. panta trešajā un ceturtajā daļā</w:t>
            </w:r>
            <w:r w:rsidR="00202BC7">
              <w:rPr>
                <w:rFonts w:ascii="Times New Roman" w:eastAsia="Times New Roman" w:hAnsi="Times New Roman" w:cs="Times New Roman"/>
                <w:sz w:val="24"/>
                <w:szCs w:val="24"/>
                <w:lang w:eastAsia="lv-LV"/>
              </w:rPr>
              <w:t xml:space="preserve"> paredzēto. Šīm i</w:t>
            </w:r>
            <w:r w:rsidR="00202BC7" w:rsidRPr="00202BC7">
              <w:rPr>
                <w:rFonts w:ascii="Times New Roman" w:eastAsia="Times New Roman" w:hAnsi="Times New Roman" w:cs="Times New Roman"/>
                <w:sz w:val="24"/>
                <w:szCs w:val="24"/>
                <w:lang w:eastAsia="lv-LV"/>
              </w:rPr>
              <w:t>eguldījumu brokeru sabiedrīb</w:t>
            </w:r>
            <w:r w:rsidR="00202BC7">
              <w:rPr>
                <w:rFonts w:ascii="Times New Roman" w:eastAsia="Times New Roman" w:hAnsi="Times New Roman" w:cs="Times New Roman"/>
                <w:sz w:val="24"/>
                <w:szCs w:val="24"/>
                <w:lang w:eastAsia="lv-LV"/>
              </w:rPr>
              <w:t>ām tiks piemērotas prasības, kas ir ietvertas Latvijas Bankas noteikumu projektā "</w:t>
            </w:r>
            <w:r w:rsidR="00202BC7" w:rsidRPr="00202BC7">
              <w:rPr>
                <w:rFonts w:ascii="Times New Roman" w:eastAsia="Times New Roman" w:hAnsi="Times New Roman" w:cs="Times New Roman"/>
                <w:sz w:val="24"/>
                <w:szCs w:val="24"/>
                <w:lang w:eastAsia="lv-LV"/>
              </w:rPr>
              <w:t>Noteikumi par kredītiestāžu atalgojuma politiku un praksi</w:t>
            </w:r>
            <w:r w:rsidR="00202BC7">
              <w:rPr>
                <w:rFonts w:ascii="Times New Roman" w:eastAsia="Times New Roman" w:hAnsi="Times New Roman" w:cs="Times New Roman"/>
                <w:sz w:val="24"/>
                <w:szCs w:val="24"/>
                <w:lang w:eastAsia="lv-LV"/>
              </w:rPr>
              <w:t>"</w:t>
            </w:r>
            <w:r w:rsidR="008903D6" w:rsidRPr="00984C9C">
              <w:rPr>
                <w:rFonts w:ascii="Times New Roman" w:eastAsia="Times New Roman" w:hAnsi="Times New Roman" w:cs="Times New Roman"/>
                <w:sz w:val="24"/>
                <w:szCs w:val="24"/>
                <w:lang w:eastAsia="lv-LV"/>
              </w:rPr>
              <w:t>;</w:t>
            </w:r>
          </w:p>
          <w:p w14:paraId="6E511FC0" w14:textId="411D840E" w:rsidR="00E81B93" w:rsidRPr="00E81B93" w:rsidRDefault="009A7F3C" w:rsidP="00685AE6">
            <w:pPr>
              <w:pStyle w:val="ListParagraph"/>
              <w:numPr>
                <w:ilvl w:val="0"/>
                <w:numId w:val="15"/>
              </w:numPr>
              <w:tabs>
                <w:tab w:val="left" w:pos="378"/>
              </w:tabs>
              <w:spacing w:after="120" w:line="240" w:lineRule="auto"/>
              <w:ind w:left="0" w:firstLine="0"/>
              <w:contextualSpacing w:val="0"/>
              <w:jc w:val="both"/>
              <w:rPr>
                <w:rFonts w:ascii="Times New Roman" w:eastAsia="Times New Roman" w:hAnsi="Times New Roman" w:cs="Times New Roman"/>
                <w:color w:val="000000"/>
                <w:sz w:val="24"/>
                <w:szCs w:val="24"/>
                <w:lang w:eastAsia="lv-LV"/>
              </w:rPr>
            </w:pPr>
            <w:r w:rsidRPr="00E81B93">
              <w:rPr>
                <w:rFonts w:ascii="Times New Roman" w:eastAsia="Times New Roman" w:hAnsi="Times New Roman" w:cs="Times New Roman"/>
                <w:color w:val="000000"/>
                <w:sz w:val="24"/>
                <w:szCs w:val="24"/>
                <w:lang w:eastAsia="lv-LV"/>
              </w:rPr>
              <w:t>ārvalstu ieguldījumu brokeru sabiedrību filiālēm, kuras saņēmušas atļauju filiāles darbībai</w:t>
            </w:r>
            <w:r w:rsidR="00BF47B0">
              <w:rPr>
                <w:rFonts w:ascii="Times New Roman" w:eastAsia="Times New Roman" w:hAnsi="Times New Roman" w:cs="Times New Roman"/>
                <w:color w:val="000000"/>
                <w:sz w:val="24"/>
                <w:szCs w:val="24"/>
                <w:lang w:eastAsia="lv-LV"/>
              </w:rPr>
              <w:t xml:space="preserve"> Latvijā</w:t>
            </w:r>
            <w:r w:rsidR="005618CE">
              <w:rPr>
                <w:rFonts w:ascii="Times New Roman" w:eastAsia="Times New Roman" w:hAnsi="Times New Roman" w:cs="Times New Roman"/>
                <w:color w:val="000000"/>
                <w:sz w:val="24"/>
                <w:szCs w:val="24"/>
                <w:lang w:eastAsia="lv-LV"/>
              </w:rPr>
              <w:t>, ņemot vērā</w:t>
            </w:r>
            <w:r w:rsidR="005618CE" w:rsidRPr="00282821">
              <w:rPr>
                <w:rFonts w:ascii="Times New Roman" w:eastAsia="Times New Roman" w:hAnsi="Times New Roman" w:cs="Times New Roman"/>
                <w:sz w:val="24"/>
                <w:szCs w:val="24"/>
                <w:lang w:eastAsia="lv-LV"/>
              </w:rPr>
              <w:t xml:space="preserve"> Ieguldījumu brokeru sabiedrību likuma</w:t>
            </w:r>
            <w:r w:rsidR="005618CE">
              <w:rPr>
                <w:rFonts w:ascii="Times New Roman" w:eastAsia="Times New Roman" w:hAnsi="Times New Roman" w:cs="Times New Roman"/>
                <w:sz w:val="24"/>
                <w:szCs w:val="24"/>
                <w:lang w:eastAsia="lv-LV"/>
              </w:rPr>
              <w:t xml:space="preserve"> 3. panta otrajā daļā paredzēto</w:t>
            </w:r>
            <w:r w:rsidR="008903D6" w:rsidRPr="00E81B93">
              <w:rPr>
                <w:rFonts w:ascii="Times New Roman" w:eastAsia="Times New Roman" w:hAnsi="Times New Roman" w:cs="Times New Roman"/>
                <w:color w:val="000000"/>
                <w:sz w:val="24"/>
                <w:szCs w:val="24"/>
                <w:lang w:eastAsia="lv-LV"/>
              </w:rPr>
              <w:t>;</w:t>
            </w:r>
            <w:r w:rsidR="00E81B93" w:rsidRPr="00E81B93">
              <w:rPr>
                <w:rFonts w:ascii="Times New Roman" w:eastAsia="Times New Roman" w:hAnsi="Times New Roman" w:cs="Times New Roman"/>
                <w:color w:val="000000"/>
                <w:sz w:val="24"/>
                <w:szCs w:val="24"/>
                <w:lang w:eastAsia="lv-LV"/>
              </w:rPr>
              <w:t xml:space="preserve"> </w:t>
            </w:r>
          </w:p>
          <w:p w14:paraId="21D35A34" w14:textId="2D0E116E" w:rsidR="00FA4772" w:rsidRDefault="009A7F3C" w:rsidP="00685AE6">
            <w:pPr>
              <w:pStyle w:val="ListParagraph"/>
              <w:numPr>
                <w:ilvl w:val="0"/>
                <w:numId w:val="15"/>
              </w:numPr>
              <w:tabs>
                <w:tab w:val="left" w:pos="378"/>
              </w:tabs>
              <w:spacing w:after="120" w:line="240" w:lineRule="auto"/>
              <w:ind w:left="0" w:firstLine="0"/>
              <w:contextualSpacing w:val="0"/>
              <w:jc w:val="both"/>
              <w:rPr>
                <w:rFonts w:ascii="Times New Roman" w:eastAsia="Times New Roman" w:hAnsi="Times New Roman" w:cs="Times New Roman"/>
                <w:sz w:val="24"/>
                <w:szCs w:val="24"/>
                <w:lang w:eastAsia="lv-LV"/>
              </w:rPr>
            </w:pPr>
            <w:r w:rsidRPr="00E81B93">
              <w:rPr>
                <w:rFonts w:ascii="Times New Roman" w:eastAsia="Times New Roman" w:hAnsi="Times New Roman" w:cs="Times New Roman"/>
                <w:color w:val="000000"/>
                <w:sz w:val="24"/>
                <w:szCs w:val="24"/>
                <w:lang w:eastAsia="lv-LV"/>
              </w:rPr>
              <w:t>ieguldījumu pārvaldītājsabiedrībām, jauktām finanšu pārvaldītājsabiedrībām</w:t>
            </w:r>
            <w:r w:rsidRPr="00E81B93">
              <w:rPr>
                <w:rFonts w:ascii="Times New Roman" w:eastAsia="Times New Roman" w:hAnsi="Times New Roman" w:cs="Times New Roman"/>
                <w:sz w:val="24"/>
                <w:szCs w:val="24"/>
                <w:lang w:eastAsia="lv-LV"/>
              </w:rPr>
              <w:t xml:space="preserve"> un jauktas darbības pārvaldītāj</w:t>
            </w:r>
            <w:r w:rsidR="00586CFC">
              <w:rPr>
                <w:rFonts w:ascii="Times New Roman" w:eastAsia="Times New Roman" w:hAnsi="Times New Roman" w:cs="Times New Roman"/>
                <w:sz w:val="24"/>
                <w:szCs w:val="24"/>
                <w:lang w:eastAsia="lv-LV"/>
              </w:rPr>
              <w:t>-</w:t>
            </w:r>
            <w:r w:rsidRPr="00E81B93">
              <w:rPr>
                <w:rFonts w:ascii="Times New Roman" w:eastAsia="Times New Roman" w:hAnsi="Times New Roman" w:cs="Times New Roman"/>
                <w:sz w:val="24"/>
                <w:szCs w:val="24"/>
                <w:lang w:eastAsia="lv-LV"/>
              </w:rPr>
              <w:t>sabiedrībām</w:t>
            </w:r>
            <w:r w:rsidR="005618CE">
              <w:rPr>
                <w:rFonts w:ascii="Times New Roman" w:eastAsia="Times New Roman" w:hAnsi="Times New Roman" w:cs="Times New Roman"/>
                <w:sz w:val="24"/>
                <w:szCs w:val="24"/>
                <w:lang w:eastAsia="lv-LV"/>
              </w:rPr>
              <w:t xml:space="preserve">, </w:t>
            </w:r>
            <w:r w:rsidR="005618CE">
              <w:rPr>
                <w:rFonts w:ascii="Times New Roman" w:eastAsia="Times New Roman" w:hAnsi="Times New Roman" w:cs="Times New Roman"/>
                <w:color w:val="000000"/>
                <w:sz w:val="24"/>
                <w:szCs w:val="24"/>
                <w:lang w:eastAsia="lv-LV"/>
              </w:rPr>
              <w:t>ņemot vērā</w:t>
            </w:r>
            <w:r w:rsidR="005618CE" w:rsidRPr="00282821">
              <w:rPr>
                <w:rFonts w:ascii="Times New Roman" w:eastAsia="Times New Roman" w:hAnsi="Times New Roman" w:cs="Times New Roman"/>
                <w:sz w:val="24"/>
                <w:szCs w:val="24"/>
                <w:lang w:eastAsia="lv-LV"/>
              </w:rPr>
              <w:t xml:space="preserve"> Ieguldījumu brokeru sabiedrību likuma</w:t>
            </w:r>
            <w:r w:rsidR="005618CE">
              <w:rPr>
                <w:rFonts w:ascii="Times New Roman" w:eastAsia="Times New Roman" w:hAnsi="Times New Roman" w:cs="Times New Roman"/>
                <w:sz w:val="24"/>
                <w:szCs w:val="24"/>
                <w:lang w:eastAsia="lv-LV"/>
              </w:rPr>
              <w:t xml:space="preserve"> 3. panta otrajā daļā paredzēto</w:t>
            </w:r>
            <w:r w:rsidRPr="00E81B93">
              <w:rPr>
                <w:rFonts w:ascii="Times New Roman" w:eastAsia="Times New Roman" w:hAnsi="Times New Roman" w:cs="Times New Roman"/>
                <w:sz w:val="24"/>
                <w:szCs w:val="24"/>
                <w:lang w:eastAsia="lv-LV"/>
              </w:rPr>
              <w:t>.</w:t>
            </w:r>
          </w:p>
          <w:p w14:paraId="09DCCEC6" w14:textId="2EC84318" w:rsidR="00940F10" w:rsidRPr="00E81B93" w:rsidRDefault="00940F10" w:rsidP="00940F10">
            <w:pPr>
              <w:pStyle w:val="Heading2"/>
              <w:numPr>
                <w:ilvl w:val="0"/>
                <w:numId w:val="0"/>
              </w:numPr>
              <w:tabs>
                <w:tab w:val="left" w:pos="238"/>
              </w:tabs>
              <w:spacing w:after="120"/>
              <w:rPr>
                <w:rFonts w:eastAsia="Times New Roman"/>
                <w:lang w:eastAsia="lv-LV"/>
              </w:rPr>
            </w:pPr>
            <w:r w:rsidRPr="00003233">
              <w:rPr>
                <w:rFonts w:eastAsia="Times New Roman"/>
                <w:lang w:eastAsia="lv-LV"/>
              </w:rPr>
              <w:t xml:space="preserve">Šobrīd nav Latvijas Republikā </w:t>
            </w:r>
            <w:r>
              <w:rPr>
                <w:rFonts w:eastAsia="Times New Roman"/>
                <w:lang w:eastAsia="lv-LV"/>
              </w:rPr>
              <w:t>licencētu</w:t>
            </w:r>
            <w:r w:rsidRPr="00003233">
              <w:rPr>
                <w:rFonts w:eastAsia="Times New Roman"/>
                <w:lang w:eastAsia="lv-LV"/>
              </w:rPr>
              <w:t xml:space="preserve"> ārvalstu </w:t>
            </w:r>
            <w:r w:rsidRPr="00E81B93">
              <w:rPr>
                <w:rFonts w:eastAsia="Times New Roman"/>
                <w:lang w:eastAsia="lv-LV"/>
              </w:rPr>
              <w:t xml:space="preserve">ieguldījumu brokeru sabiedrību </w:t>
            </w:r>
            <w:r w:rsidRPr="00003233">
              <w:rPr>
                <w:rFonts w:eastAsia="Times New Roman"/>
                <w:lang w:eastAsia="lv-LV"/>
              </w:rPr>
              <w:t xml:space="preserve">filiāļu, kā arī </w:t>
            </w:r>
            <w:r w:rsidRPr="00E81B93">
              <w:rPr>
                <w:rFonts w:eastAsia="Times New Roman"/>
                <w:lang w:eastAsia="lv-LV"/>
              </w:rPr>
              <w:t xml:space="preserve">ieguldījumu </w:t>
            </w:r>
            <w:proofErr w:type="spellStart"/>
            <w:r w:rsidRPr="00E81B93">
              <w:rPr>
                <w:rFonts w:eastAsia="Times New Roman"/>
                <w:lang w:eastAsia="lv-LV"/>
              </w:rPr>
              <w:t>pārvaldītājsabiedrīb</w:t>
            </w:r>
            <w:r>
              <w:rPr>
                <w:rFonts w:eastAsia="Times New Roman"/>
                <w:lang w:eastAsia="lv-LV"/>
              </w:rPr>
              <w:t>u</w:t>
            </w:r>
            <w:proofErr w:type="spellEnd"/>
            <w:r w:rsidRPr="00E81B93">
              <w:rPr>
                <w:rFonts w:eastAsia="Times New Roman"/>
                <w:lang w:eastAsia="lv-LV"/>
              </w:rPr>
              <w:t>, jaukt</w:t>
            </w:r>
            <w:r w:rsidR="00C02FD1">
              <w:rPr>
                <w:rFonts w:eastAsia="Times New Roman"/>
                <w:lang w:eastAsia="lv-LV"/>
              </w:rPr>
              <w:t>u</w:t>
            </w:r>
            <w:r w:rsidRPr="00E81B93">
              <w:rPr>
                <w:rFonts w:eastAsia="Times New Roman"/>
                <w:lang w:eastAsia="lv-LV"/>
              </w:rPr>
              <w:t xml:space="preserve"> finanšu </w:t>
            </w:r>
            <w:proofErr w:type="spellStart"/>
            <w:r w:rsidRPr="00E81B93">
              <w:rPr>
                <w:rFonts w:eastAsia="Times New Roman"/>
                <w:lang w:eastAsia="lv-LV"/>
              </w:rPr>
              <w:t>pārvaldītājsabiedrīb</w:t>
            </w:r>
            <w:r>
              <w:rPr>
                <w:rFonts w:eastAsia="Times New Roman"/>
                <w:lang w:eastAsia="lv-LV"/>
              </w:rPr>
              <w:t>u</w:t>
            </w:r>
            <w:proofErr w:type="spellEnd"/>
            <w:r w:rsidRPr="00E81B93">
              <w:rPr>
                <w:rFonts w:eastAsia="Times New Roman"/>
                <w:lang w:eastAsia="lv-LV"/>
              </w:rPr>
              <w:t xml:space="preserve"> un jauktas darbības pārvaldītājsabiedrīb</w:t>
            </w:r>
            <w:r>
              <w:rPr>
                <w:rFonts w:eastAsia="Times New Roman"/>
                <w:lang w:eastAsia="lv-LV"/>
              </w:rPr>
              <w:t>u</w:t>
            </w:r>
            <w:r w:rsidRPr="00003233">
              <w:rPr>
                <w:rFonts w:eastAsia="Times New Roman"/>
                <w:lang w:eastAsia="lv-LV"/>
              </w:rPr>
              <w:t xml:space="preserve">. </w:t>
            </w:r>
          </w:p>
          <w:p w14:paraId="6F8AAF4F" w14:textId="06B0477D" w:rsidR="006C3828" w:rsidRPr="005D0C40" w:rsidRDefault="006C3828" w:rsidP="00685AE6">
            <w:pPr>
              <w:pStyle w:val="Heading2"/>
              <w:numPr>
                <w:ilvl w:val="0"/>
                <w:numId w:val="0"/>
              </w:numPr>
              <w:spacing w:after="120"/>
              <w:rPr>
                <w:rFonts w:eastAsia="Times New Roman"/>
                <w:lang w:val="lv-LV" w:eastAsia="lv-LV"/>
              </w:rPr>
            </w:pPr>
            <w:r w:rsidRPr="005D0C40">
              <w:rPr>
                <w:rFonts w:eastAsia="Times New Roman"/>
                <w:lang w:val="lv-LV" w:eastAsia="lv-LV"/>
              </w:rPr>
              <w:t>Noteikumu projekts</w:t>
            </w:r>
            <w:r w:rsidR="003F7A1F" w:rsidRPr="005D0C40">
              <w:rPr>
                <w:rFonts w:eastAsia="Times New Roman"/>
                <w:lang w:val="lv-LV" w:eastAsia="lv-LV"/>
              </w:rPr>
              <w:t xml:space="preserve"> </w:t>
            </w:r>
            <w:r w:rsidRPr="005D0C40">
              <w:rPr>
                <w:rFonts w:eastAsia="Times New Roman"/>
                <w:lang w:val="lv-LV" w:eastAsia="lv-LV"/>
              </w:rPr>
              <w:t>nosaka:</w:t>
            </w:r>
          </w:p>
          <w:p w14:paraId="46463754" w14:textId="33B329B4" w:rsidR="00556D06" w:rsidRPr="005D0C40" w:rsidRDefault="00BF47B0" w:rsidP="00685AE6">
            <w:pPr>
              <w:pStyle w:val="ListParagraph"/>
              <w:numPr>
                <w:ilvl w:val="0"/>
                <w:numId w:val="12"/>
              </w:numPr>
              <w:tabs>
                <w:tab w:val="left" w:pos="400"/>
              </w:tabs>
              <w:spacing w:after="120" w:line="240" w:lineRule="auto"/>
              <w:ind w:left="0" w:firstLine="0"/>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prasības iestādes </w:t>
            </w:r>
            <w:r w:rsidR="000A2048">
              <w:rPr>
                <w:rFonts w:ascii="Times New Roman" w:eastAsia="Times New Roman" w:hAnsi="Times New Roman" w:cs="Times New Roman"/>
                <w:color w:val="000000"/>
                <w:sz w:val="24"/>
                <w:szCs w:val="24"/>
                <w:lang w:eastAsia="lv-LV"/>
              </w:rPr>
              <w:t>a</w:t>
            </w:r>
            <w:r w:rsidR="00FA4772">
              <w:rPr>
                <w:rFonts w:ascii="Times New Roman" w:eastAsia="Times New Roman" w:hAnsi="Times New Roman" w:cs="Times New Roman"/>
                <w:color w:val="000000"/>
                <w:sz w:val="24"/>
                <w:szCs w:val="24"/>
                <w:lang w:eastAsia="lv-LV"/>
              </w:rPr>
              <w:t>talgojuma politik</w:t>
            </w:r>
            <w:r>
              <w:rPr>
                <w:rFonts w:ascii="Times New Roman" w:eastAsia="Times New Roman" w:hAnsi="Times New Roman" w:cs="Times New Roman"/>
                <w:color w:val="000000"/>
                <w:sz w:val="24"/>
                <w:szCs w:val="24"/>
                <w:lang w:eastAsia="lv-LV"/>
              </w:rPr>
              <w:t>ai</w:t>
            </w:r>
            <w:r w:rsidR="00250CBD">
              <w:rPr>
                <w:rFonts w:ascii="Times New Roman" w:eastAsia="Times New Roman" w:hAnsi="Times New Roman" w:cs="Times New Roman"/>
                <w:color w:val="000000"/>
                <w:sz w:val="24"/>
                <w:szCs w:val="24"/>
                <w:lang w:eastAsia="lv-LV"/>
              </w:rPr>
              <w:t xml:space="preserve"> un tās</w:t>
            </w:r>
            <w:r w:rsidR="00C86CEC">
              <w:rPr>
                <w:rFonts w:ascii="Times New Roman" w:eastAsia="Times New Roman" w:hAnsi="Times New Roman" w:cs="Times New Roman"/>
                <w:color w:val="000000"/>
                <w:sz w:val="24"/>
                <w:szCs w:val="24"/>
                <w:lang w:eastAsia="lv-LV"/>
              </w:rPr>
              <w:t xml:space="preserve"> pamatprincipus</w:t>
            </w:r>
            <w:r w:rsidR="008812FC" w:rsidRPr="005D0C40">
              <w:rPr>
                <w:rFonts w:ascii="Times New Roman" w:eastAsia="Times New Roman" w:hAnsi="Times New Roman" w:cs="Times New Roman"/>
                <w:color w:val="000000"/>
                <w:sz w:val="24"/>
                <w:szCs w:val="24"/>
                <w:lang w:eastAsia="lv-LV"/>
              </w:rPr>
              <w:t>;</w:t>
            </w:r>
          </w:p>
          <w:p w14:paraId="22CDD7D4" w14:textId="01A3E8D0" w:rsidR="00FA4772" w:rsidRPr="005D0C40" w:rsidRDefault="00BF47B0" w:rsidP="00685AE6">
            <w:pPr>
              <w:pStyle w:val="ListParagraph"/>
              <w:numPr>
                <w:ilvl w:val="0"/>
                <w:numId w:val="12"/>
              </w:numPr>
              <w:tabs>
                <w:tab w:val="left" w:pos="400"/>
              </w:tabs>
              <w:spacing w:after="120" w:line="240" w:lineRule="auto"/>
              <w:ind w:left="0" w:firstLine="0"/>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iestādes </w:t>
            </w:r>
            <w:r w:rsidR="000A2048">
              <w:rPr>
                <w:rFonts w:ascii="Times New Roman" w:eastAsia="Times New Roman" w:hAnsi="Times New Roman" w:cs="Times New Roman"/>
                <w:color w:val="000000"/>
                <w:sz w:val="24"/>
                <w:szCs w:val="24"/>
                <w:lang w:eastAsia="lv-LV"/>
              </w:rPr>
              <w:t>p</w:t>
            </w:r>
            <w:r w:rsidR="00FA4772">
              <w:rPr>
                <w:rFonts w:ascii="Times New Roman" w:eastAsia="Times New Roman" w:hAnsi="Times New Roman" w:cs="Times New Roman"/>
                <w:color w:val="000000"/>
                <w:sz w:val="24"/>
                <w:szCs w:val="24"/>
                <w:lang w:eastAsia="lv-LV"/>
              </w:rPr>
              <w:t xml:space="preserve">adomes un valdes lomu </w:t>
            </w:r>
            <w:r w:rsidR="00C86CEC">
              <w:rPr>
                <w:rFonts w:ascii="Times New Roman" w:eastAsia="Times New Roman" w:hAnsi="Times New Roman" w:cs="Times New Roman"/>
                <w:color w:val="000000"/>
                <w:sz w:val="24"/>
                <w:szCs w:val="24"/>
                <w:lang w:eastAsia="lv-LV"/>
              </w:rPr>
              <w:t xml:space="preserve">un atbildību </w:t>
            </w:r>
            <w:r w:rsidR="00FA4772">
              <w:rPr>
                <w:rFonts w:ascii="Times New Roman" w:eastAsia="Times New Roman" w:hAnsi="Times New Roman" w:cs="Times New Roman"/>
                <w:color w:val="000000"/>
                <w:sz w:val="24"/>
                <w:szCs w:val="24"/>
                <w:lang w:eastAsia="lv-LV"/>
              </w:rPr>
              <w:t>atalgojuma politikas</w:t>
            </w:r>
            <w:r w:rsidR="00C86CEC">
              <w:rPr>
                <w:rFonts w:ascii="Times New Roman" w:eastAsia="Times New Roman" w:hAnsi="Times New Roman" w:cs="Times New Roman"/>
                <w:color w:val="000000"/>
                <w:sz w:val="24"/>
                <w:szCs w:val="24"/>
                <w:lang w:eastAsia="lv-LV"/>
              </w:rPr>
              <w:t xml:space="preserve"> un prakses noteikšanā</w:t>
            </w:r>
            <w:r w:rsidR="00FA4772" w:rsidRPr="005D0C40">
              <w:rPr>
                <w:rFonts w:ascii="Times New Roman" w:eastAsia="Times New Roman" w:hAnsi="Times New Roman" w:cs="Times New Roman"/>
                <w:color w:val="000000"/>
                <w:sz w:val="24"/>
                <w:szCs w:val="24"/>
                <w:lang w:eastAsia="lv-LV"/>
              </w:rPr>
              <w:t>;</w:t>
            </w:r>
          </w:p>
          <w:p w14:paraId="469114F4" w14:textId="500071A7" w:rsidR="000A2048" w:rsidRPr="000A2048" w:rsidRDefault="00BF47B0" w:rsidP="00685AE6">
            <w:pPr>
              <w:pStyle w:val="ListParagraph"/>
              <w:numPr>
                <w:ilvl w:val="0"/>
                <w:numId w:val="12"/>
              </w:numPr>
              <w:tabs>
                <w:tab w:val="left" w:pos="400"/>
              </w:tabs>
              <w:spacing w:after="120" w:line="240" w:lineRule="auto"/>
              <w:ind w:left="0" w:firstLine="0"/>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iestādes</w:t>
            </w:r>
            <w:r w:rsidR="0028218F">
              <w:rPr>
                <w:rFonts w:ascii="Times New Roman" w:eastAsia="Times New Roman" w:hAnsi="Times New Roman" w:cs="Times New Roman"/>
                <w:color w:val="000000"/>
                <w:sz w:val="24"/>
                <w:szCs w:val="24"/>
                <w:lang w:eastAsia="lv-LV"/>
              </w:rPr>
              <w:t xml:space="preserve"> </w:t>
            </w:r>
            <w:r w:rsidR="000F6250">
              <w:rPr>
                <w:rFonts w:ascii="Times New Roman" w:eastAsia="Times New Roman" w:hAnsi="Times New Roman" w:cs="Times New Roman"/>
                <w:color w:val="000000"/>
                <w:sz w:val="24"/>
                <w:szCs w:val="24"/>
                <w:lang w:eastAsia="lv-LV"/>
              </w:rPr>
              <w:t xml:space="preserve">amatpersonu un </w:t>
            </w:r>
            <w:r w:rsidR="0028218F">
              <w:rPr>
                <w:rFonts w:ascii="Times New Roman" w:eastAsia="Times New Roman" w:hAnsi="Times New Roman" w:cs="Times New Roman"/>
                <w:color w:val="000000"/>
                <w:sz w:val="24"/>
                <w:szCs w:val="24"/>
                <w:lang w:eastAsia="lv-LV"/>
              </w:rPr>
              <w:t xml:space="preserve">darbinieku </w:t>
            </w:r>
            <w:r w:rsidR="000A2048">
              <w:rPr>
                <w:rFonts w:ascii="Times New Roman" w:eastAsia="Times New Roman" w:hAnsi="Times New Roman" w:cs="Times New Roman"/>
                <w:color w:val="000000"/>
                <w:sz w:val="24"/>
                <w:szCs w:val="24"/>
                <w:lang w:eastAsia="lv-LV"/>
              </w:rPr>
              <w:t>d</w:t>
            </w:r>
            <w:r w:rsidR="000A2048" w:rsidRPr="000A2048">
              <w:rPr>
                <w:rFonts w:ascii="Times New Roman" w:eastAsia="Times New Roman" w:hAnsi="Times New Roman" w:cs="Times New Roman"/>
                <w:color w:val="000000"/>
                <w:sz w:val="24"/>
                <w:szCs w:val="24"/>
                <w:lang w:eastAsia="lv-LV"/>
              </w:rPr>
              <w:t>arbības rezultātu novērtēšana</w:t>
            </w:r>
            <w:r w:rsidR="000A2048">
              <w:rPr>
                <w:rFonts w:ascii="Times New Roman" w:eastAsia="Times New Roman" w:hAnsi="Times New Roman" w:cs="Times New Roman"/>
                <w:color w:val="000000"/>
                <w:sz w:val="24"/>
                <w:szCs w:val="24"/>
                <w:lang w:eastAsia="lv-LV"/>
              </w:rPr>
              <w:t>s</w:t>
            </w:r>
            <w:r w:rsidR="000A2048" w:rsidRPr="000A2048">
              <w:rPr>
                <w:rFonts w:ascii="Times New Roman" w:eastAsia="Times New Roman" w:hAnsi="Times New Roman" w:cs="Times New Roman"/>
                <w:color w:val="000000"/>
                <w:sz w:val="24"/>
                <w:szCs w:val="24"/>
                <w:lang w:eastAsia="lv-LV"/>
              </w:rPr>
              <w:t xml:space="preserve"> un atalgojuma mainīgās daļas noteikšana</w:t>
            </w:r>
            <w:r w:rsidR="000A2048">
              <w:rPr>
                <w:rFonts w:ascii="Times New Roman" w:eastAsia="Times New Roman" w:hAnsi="Times New Roman" w:cs="Times New Roman"/>
                <w:color w:val="000000"/>
                <w:sz w:val="24"/>
                <w:szCs w:val="24"/>
                <w:lang w:eastAsia="lv-LV"/>
              </w:rPr>
              <w:t>s principus;</w:t>
            </w:r>
          </w:p>
          <w:p w14:paraId="580F58DD" w14:textId="6A3EA000" w:rsidR="000A2048" w:rsidRPr="000A2048" w:rsidRDefault="000A2048" w:rsidP="00685AE6">
            <w:pPr>
              <w:pStyle w:val="ListParagraph"/>
              <w:numPr>
                <w:ilvl w:val="0"/>
                <w:numId w:val="12"/>
              </w:numPr>
              <w:tabs>
                <w:tab w:val="left" w:pos="400"/>
              </w:tabs>
              <w:spacing w:after="120" w:line="240" w:lineRule="auto"/>
              <w:ind w:left="0" w:firstLine="0"/>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papildu nosacījumus </w:t>
            </w:r>
            <w:r w:rsidR="00BF47B0">
              <w:rPr>
                <w:rFonts w:ascii="Times New Roman" w:eastAsia="Times New Roman" w:hAnsi="Times New Roman" w:cs="Times New Roman"/>
                <w:color w:val="000000"/>
                <w:sz w:val="24"/>
                <w:szCs w:val="24"/>
                <w:lang w:eastAsia="lv-LV"/>
              </w:rPr>
              <w:t>iestādes</w:t>
            </w:r>
            <w:r w:rsidRPr="000A2048">
              <w:rPr>
                <w:rFonts w:ascii="Times New Roman" w:eastAsia="Times New Roman" w:hAnsi="Times New Roman" w:cs="Times New Roman"/>
                <w:color w:val="000000"/>
                <w:sz w:val="24"/>
                <w:szCs w:val="24"/>
                <w:lang w:eastAsia="lv-LV"/>
              </w:rPr>
              <w:t xml:space="preserve"> riska profilu ietekmējoš</w:t>
            </w:r>
            <w:r>
              <w:rPr>
                <w:rFonts w:ascii="Times New Roman" w:eastAsia="Times New Roman" w:hAnsi="Times New Roman" w:cs="Times New Roman"/>
                <w:color w:val="000000"/>
                <w:sz w:val="24"/>
                <w:szCs w:val="24"/>
                <w:lang w:eastAsia="lv-LV"/>
              </w:rPr>
              <w:t xml:space="preserve">os amatos esošo </w:t>
            </w:r>
            <w:r w:rsidR="000F6250">
              <w:rPr>
                <w:rFonts w:ascii="Times New Roman" w:eastAsia="Times New Roman" w:hAnsi="Times New Roman" w:cs="Times New Roman"/>
                <w:color w:val="000000"/>
                <w:sz w:val="24"/>
                <w:szCs w:val="24"/>
                <w:lang w:eastAsia="lv-LV"/>
              </w:rPr>
              <w:t xml:space="preserve">amatpersonu un </w:t>
            </w:r>
            <w:r>
              <w:rPr>
                <w:rFonts w:ascii="Times New Roman" w:eastAsia="Times New Roman" w:hAnsi="Times New Roman" w:cs="Times New Roman"/>
                <w:color w:val="000000"/>
                <w:sz w:val="24"/>
                <w:szCs w:val="24"/>
                <w:lang w:eastAsia="lv-LV"/>
              </w:rPr>
              <w:t>darbinieku atalgojumam;</w:t>
            </w:r>
          </w:p>
          <w:p w14:paraId="4221AD86" w14:textId="2F650F52" w:rsidR="008812FC" w:rsidRPr="005D0C40" w:rsidRDefault="00E20086" w:rsidP="00685AE6">
            <w:pPr>
              <w:pStyle w:val="ListParagraph"/>
              <w:numPr>
                <w:ilvl w:val="0"/>
                <w:numId w:val="12"/>
              </w:numPr>
              <w:tabs>
                <w:tab w:val="left" w:pos="400"/>
              </w:tabs>
              <w:spacing w:after="120" w:line="240" w:lineRule="auto"/>
              <w:ind w:left="0" w:firstLine="0"/>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atalgojuma jomas pārskatu sagatavošanas un iesniegšanas kārtību.</w:t>
            </w:r>
          </w:p>
          <w:p w14:paraId="67DF9A13" w14:textId="62EF045D" w:rsidR="006C3828" w:rsidRPr="005D0C40" w:rsidRDefault="00420E5E" w:rsidP="00685AE6">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Kopumā n</w:t>
            </w:r>
            <w:r w:rsidR="006C3828" w:rsidRPr="005D0C40">
              <w:rPr>
                <w:rFonts w:ascii="Times New Roman" w:eastAsia="Times New Roman" w:hAnsi="Times New Roman" w:cs="Times New Roman"/>
                <w:color w:val="000000"/>
                <w:sz w:val="24"/>
                <w:szCs w:val="24"/>
                <w:lang w:eastAsia="lv-LV"/>
              </w:rPr>
              <w:t xml:space="preserve">oteikumu projekts satur </w:t>
            </w:r>
            <w:r>
              <w:rPr>
                <w:rFonts w:ascii="Times New Roman" w:eastAsia="Times New Roman" w:hAnsi="Times New Roman" w:cs="Times New Roman"/>
                <w:color w:val="000000"/>
                <w:sz w:val="24"/>
                <w:szCs w:val="24"/>
                <w:lang w:eastAsia="lv-LV"/>
              </w:rPr>
              <w:t xml:space="preserve">prasības, kas ir </w:t>
            </w:r>
            <w:r w:rsidR="006C3828" w:rsidRPr="005D0C40">
              <w:rPr>
                <w:rFonts w:ascii="Times New Roman" w:eastAsia="Times New Roman" w:hAnsi="Times New Roman" w:cs="Times New Roman"/>
                <w:color w:val="000000"/>
                <w:sz w:val="24"/>
                <w:szCs w:val="24"/>
                <w:lang w:eastAsia="lv-LV"/>
              </w:rPr>
              <w:t xml:space="preserve">identiskas </w:t>
            </w:r>
            <w:r w:rsidR="00E9512C" w:rsidRPr="005D0C40">
              <w:rPr>
                <w:rFonts w:ascii="Times New Roman" w:eastAsia="Times New Roman" w:hAnsi="Times New Roman" w:cs="Times New Roman"/>
                <w:color w:val="000000"/>
                <w:sz w:val="24"/>
                <w:szCs w:val="24"/>
                <w:lang w:eastAsia="lv-LV"/>
              </w:rPr>
              <w:t>noteikumi</w:t>
            </w:r>
            <w:r>
              <w:rPr>
                <w:rFonts w:ascii="Times New Roman" w:eastAsia="Times New Roman" w:hAnsi="Times New Roman" w:cs="Times New Roman"/>
                <w:color w:val="000000"/>
                <w:sz w:val="24"/>
                <w:szCs w:val="24"/>
                <w:lang w:eastAsia="lv-LV"/>
              </w:rPr>
              <w:t>em</w:t>
            </w:r>
            <w:r w:rsidR="00250CBD">
              <w:rPr>
                <w:rFonts w:ascii="Times New Roman" w:eastAsia="Times New Roman" w:hAnsi="Times New Roman" w:cs="Times New Roman"/>
                <w:color w:val="000000"/>
                <w:sz w:val="24"/>
                <w:szCs w:val="24"/>
                <w:lang w:eastAsia="lv-LV"/>
              </w:rPr>
              <w:t xml:space="preserve"> Nr.</w:t>
            </w:r>
            <w:r w:rsidR="00BA2695">
              <w:rPr>
                <w:rFonts w:ascii="Times New Roman" w:eastAsia="Times New Roman" w:hAnsi="Times New Roman" w:cs="Times New Roman"/>
                <w:color w:val="000000"/>
                <w:sz w:val="24"/>
                <w:szCs w:val="24"/>
                <w:lang w:eastAsia="lv-LV"/>
              </w:rPr>
              <w:t> </w:t>
            </w:r>
            <w:r w:rsidR="00250CBD">
              <w:rPr>
                <w:rFonts w:ascii="Times New Roman" w:eastAsia="Times New Roman" w:hAnsi="Times New Roman" w:cs="Times New Roman"/>
                <w:color w:val="000000"/>
                <w:sz w:val="24"/>
                <w:szCs w:val="24"/>
                <w:lang w:eastAsia="lv-LV"/>
              </w:rPr>
              <w:t>162</w:t>
            </w:r>
            <w:r w:rsidR="00E9512C" w:rsidRPr="005D0C40">
              <w:rPr>
                <w:rFonts w:ascii="Times New Roman" w:eastAsia="Times New Roman" w:hAnsi="Times New Roman" w:cs="Times New Roman"/>
                <w:color w:val="000000"/>
                <w:sz w:val="24"/>
                <w:szCs w:val="24"/>
                <w:lang w:eastAsia="lv-LV"/>
              </w:rPr>
              <w:t xml:space="preserve">, </w:t>
            </w:r>
            <w:r w:rsidR="006C3828" w:rsidRPr="005D0C40">
              <w:rPr>
                <w:rFonts w:ascii="Times New Roman" w:eastAsia="Times New Roman" w:hAnsi="Times New Roman" w:cs="Times New Roman"/>
                <w:color w:val="000000"/>
                <w:sz w:val="24"/>
                <w:szCs w:val="24"/>
                <w:lang w:eastAsia="lv-LV"/>
              </w:rPr>
              <w:t xml:space="preserve">izņemot </w:t>
            </w:r>
            <w:bookmarkStart w:id="1" w:name="_Hlk163743024"/>
            <w:r w:rsidR="006C3828" w:rsidRPr="005D0C40">
              <w:rPr>
                <w:rFonts w:ascii="Times New Roman" w:eastAsia="Times New Roman" w:hAnsi="Times New Roman" w:cs="Times New Roman"/>
                <w:color w:val="000000"/>
                <w:sz w:val="24"/>
                <w:szCs w:val="24"/>
                <w:lang w:eastAsia="lv-LV"/>
              </w:rPr>
              <w:t xml:space="preserve">šādas </w:t>
            </w:r>
            <w:r w:rsidR="00167CDF">
              <w:rPr>
                <w:rFonts w:ascii="Times New Roman" w:eastAsia="Times New Roman" w:hAnsi="Times New Roman" w:cs="Times New Roman"/>
                <w:color w:val="000000"/>
                <w:sz w:val="24"/>
                <w:szCs w:val="24"/>
                <w:lang w:eastAsia="lv-LV"/>
              </w:rPr>
              <w:t>iz</w:t>
            </w:r>
            <w:r w:rsidR="006C3828" w:rsidRPr="005D0C40">
              <w:rPr>
                <w:rFonts w:ascii="Times New Roman" w:eastAsia="Times New Roman" w:hAnsi="Times New Roman" w:cs="Times New Roman"/>
                <w:color w:val="000000"/>
                <w:sz w:val="24"/>
                <w:szCs w:val="24"/>
                <w:lang w:eastAsia="lv-LV"/>
              </w:rPr>
              <w:t>maiņas:</w:t>
            </w:r>
          </w:p>
          <w:p w14:paraId="4698A98A" w14:textId="7D4E65F5" w:rsidR="004B6ED3" w:rsidRDefault="00167CDF" w:rsidP="00685AE6">
            <w:pPr>
              <w:pStyle w:val="ListParagraph"/>
              <w:numPr>
                <w:ilvl w:val="0"/>
                <w:numId w:val="14"/>
              </w:numPr>
              <w:tabs>
                <w:tab w:val="left" w:pos="340"/>
              </w:tabs>
              <w:spacing w:after="120" w:line="240" w:lineRule="auto"/>
              <w:ind w:left="0" w:firstLine="18"/>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noteikum</w:t>
            </w:r>
            <w:r w:rsidR="00EA1855">
              <w:rPr>
                <w:rFonts w:ascii="Times New Roman" w:eastAsia="Times New Roman" w:hAnsi="Times New Roman" w:cs="Times New Roman"/>
                <w:color w:val="000000"/>
                <w:sz w:val="24"/>
                <w:szCs w:val="24"/>
                <w:lang w:eastAsia="lv-LV"/>
              </w:rPr>
              <w:t>u projekta</w:t>
            </w:r>
            <w:r>
              <w:rPr>
                <w:rFonts w:ascii="Times New Roman" w:eastAsia="Times New Roman" w:hAnsi="Times New Roman" w:cs="Times New Roman"/>
                <w:color w:val="000000"/>
                <w:sz w:val="24"/>
                <w:szCs w:val="24"/>
                <w:lang w:eastAsia="lv-LV"/>
              </w:rPr>
              <w:t xml:space="preserve"> </w:t>
            </w:r>
            <w:r w:rsidR="001964C0">
              <w:rPr>
                <w:rFonts w:ascii="Times New Roman" w:eastAsia="Times New Roman" w:hAnsi="Times New Roman" w:cs="Times New Roman"/>
                <w:color w:val="000000"/>
                <w:sz w:val="24"/>
                <w:szCs w:val="24"/>
                <w:lang w:eastAsia="lv-LV"/>
              </w:rPr>
              <w:t>6.6. apakš</w:t>
            </w:r>
            <w:r>
              <w:rPr>
                <w:rFonts w:ascii="Times New Roman" w:eastAsia="Times New Roman" w:hAnsi="Times New Roman" w:cs="Times New Roman"/>
                <w:color w:val="000000"/>
                <w:sz w:val="24"/>
                <w:szCs w:val="24"/>
                <w:lang w:eastAsia="lv-LV"/>
              </w:rPr>
              <w:t>punkt</w:t>
            </w:r>
            <w:r w:rsidR="00250CBD">
              <w:rPr>
                <w:rFonts w:ascii="Times New Roman" w:eastAsia="Times New Roman" w:hAnsi="Times New Roman" w:cs="Times New Roman"/>
                <w:color w:val="000000"/>
                <w:sz w:val="24"/>
                <w:szCs w:val="24"/>
                <w:lang w:eastAsia="lv-LV"/>
              </w:rPr>
              <w:t>ā</w:t>
            </w:r>
            <w:r>
              <w:rPr>
                <w:rFonts w:ascii="Times New Roman" w:eastAsia="Times New Roman" w:hAnsi="Times New Roman" w:cs="Times New Roman"/>
                <w:color w:val="000000"/>
                <w:sz w:val="24"/>
                <w:szCs w:val="24"/>
                <w:lang w:eastAsia="lv-LV"/>
              </w:rPr>
              <w:t xml:space="preserve"> </w:t>
            </w:r>
            <w:r w:rsidR="00250CBD">
              <w:rPr>
                <w:rFonts w:ascii="Times New Roman" w:eastAsia="Times New Roman" w:hAnsi="Times New Roman" w:cs="Times New Roman"/>
                <w:color w:val="000000"/>
                <w:sz w:val="24"/>
                <w:szCs w:val="24"/>
                <w:lang w:eastAsia="lv-LV"/>
              </w:rPr>
              <w:t>mainīta atsauce</w:t>
            </w:r>
            <w:r>
              <w:rPr>
                <w:rFonts w:ascii="Times New Roman" w:eastAsia="Times New Roman" w:hAnsi="Times New Roman" w:cs="Times New Roman"/>
                <w:color w:val="000000"/>
                <w:sz w:val="24"/>
                <w:szCs w:val="24"/>
                <w:lang w:eastAsia="lv-LV"/>
              </w:rPr>
              <w:t xml:space="preserve"> uz </w:t>
            </w:r>
            <w:r w:rsidRPr="00167CDF">
              <w:rPr>
                <w:rFonts w:ascii="Times New Roman" w:eastAsia="Times New Roman" w:hAnsi="Times New Roman" w:cs="Times New Roman"/>
                <w:color w:val="000000"/>
                <w:sz w:val="24"/>
                <w:szCs w:val="24"/>
                <w:lang w:eastAsia="lv-LV"/>
              </w:rPr>
              <w:t>Eiropas Vērtspapīru un tirgu iestādes 2023.</w:t>
            </w:r>
            <w:r w:rsidR="005C49E0">
              <w:rPr>
                <w:rFonts w:ascii="Times New Roman" w:eastAsia="Times New Roman" w:hAnsi="Times New Roman" w:cs="Times New Roman"/>
                <w:color w:val="000000"/>
                <w:sz w:val="24"/>
                <w:szCs w:val="24"/>
                <w:lang w:eastAsia="lv-LV"/>
              </w:rPr>
              <w:t> </w:t>
            </w:r>
            <w:r w:rsidRPr="00167CDF">
              <w:rPr>
                <w:rFonts w:ascii="Times New Roman" w:eastAsia="Times New Roman" w:hAnsi="Times New Roman" w:cs="Times New Roman"/>
                <w:color w:val="000000"/>
                <w:sz w:val="24"/>
                <w:szCs w:val="24"/>
                <w:lang w:eastAsia="lv-LV"/>
              </w:rPr>
              <w:t>gada 3.</w:t>
            </w:r>
            <w:r w:rsidR="005C49E0">
              <w:rPr>
                <w:rFonts w:ascii="Times New Roman" w:eastAsia="Times New Roman" w:hAnsi="Times New Roman" w:cs="Times New Roman"/>
                <w:color w:val="000000"/>
                <w:sz w:val="24"/>
                <w:szCs w:val="24"/>
                <w:lang w:eastAsia="lv-LV"/>
              </w:rPr>
              <w:t> </w:t>
            </w:r>
            <w:r w:rsidRPr="00167CDF">
              <w:rPr>
                <w:rFonts w:ascii="Times New Roman" w:eastAsia="Times New Roman" w:hAnsi="Times New Roman" w:cs="Times New Roman"/>
                <w:color w:val="000000"/>
                <w:sz w:val="24"/>
                <w:szCs w:val="24"/>
                <w:lang w:eastAsia="lv-LV"/>
              </w:rPr>
              <w:t>aprīļa pamatnostādn</w:t>
            </w:r>
            <w:r>
              <w:rPr>
                <w:rFonts w:ascii="Times New Roman" w:eastAsia="Times New Roman" w:hAnsi="Times New Roman" w:cs="Times New Roman"/>
                <w:color w:val="000000"/>
                <w:sz w:val="24"/>
                <w:szCs w:val="24"/>
                <w:lang w:eastAsia="lv-LV"/>
              </w:rPr>
              <w:t>ēm</w:t>
            </w:r>
            <w:r w:rsidRPr="00167CDF">
              <w:rPr>
                <w:rFonts w:ascii="Times New Roman" w:eastAsia="Times New Roman" w:hAnsi="Times New Roman" w:cs="Times New Roman"/>
                <w:color w:val="000000"/>
                <w:sz w:val="24"/>
                <w:szCs w:val="24"/>
                <w:lang w:eastAsia="lv-LV"/>
              </w:rPr>
              <w:t xml:space="preserve"> ESMA35-43-3565 "Pamatnostādnes par noteiktiem FITD II atalgojuma prasību aspektiem"</w:t>
            </w:r>
            <w:r>
              <w:rPr>
                <w:rFonts w:ascii="Times New Roman" w:eastAsia="Times New Roman" w:hAnsi="Times New Roman" w:cs="Times New Roman"/>
                <w:color w:val="000000"/>
                <w:sz w:val="24"/>
                <w:szCs w:val="24"/>
                <w:lang w:eastAsia="lv-LV"/>
              </w:rPr>
              <w:t xml:space="preserve"> </w:t>
            </w:r>
            <w:r w:rsidR="006B2FDB">
              <w:rPr>
                <w:rFonts w:ascii="Times New Roman" w:eastAsia="Times New Roman" w:hAnsi="Times New Roman" w:cs="Times New Roman"/>
                <w:color w:val="000000"/>
                <w:sz w:val="24"/>
                <w:szCs w:val="24"/>
                <w:lang w:eastAsia="lv-LV"/>
              </w:rPr>
              <w:t>(</w:t>
            </w:r>
            <w:r w:rsidR="00BA2695">
              <w:rPr>
                <w:rFonts w:ascii="Times New Roman" w:eastAsia="Times New Roman" w:hAnsi="Times New Roman" w:cs="Times New Roman"/>
                <w:color w:val="000000"/>
                <w:sz w:val="24"/>
                <w:szCs w:val="24"/>
                <w:lang w:eastAsia="lv-LV"/>
              </w:rPr>
              <w:t>turpmāk </w:t>
            </w:r>
            <w:r w:rsidR="006B2FDB">
              <w:rPr>
                <w:rFonts w:ascii="Times New Roman" w:eastAsia="Times New Roman" w:hAnsi="Times New Roman" w:cs="Times New Roman"/>
                <w:color w:val="000000"/>
                <w:sz w:val="24"/>
                <w:szCs w:val="24"/>
                <w:lang w:eastAsia="lv-LV"/>
              </w:rPr>
              <w:t>– Pamatnostādnes</w:t>
            </w:r>
            <w:r w:rsidR="009818C1">
              <w:rPr>
                <w:rFonts w:ascii="Times New Roman" w:eastAsia="Times New Roman" w:hAnsi="Times New Roman" w:cs="Times New Roman"/>
                <w:color w:val="000000"/>
                <w:sz w:val="24"/>
                <w:szCs w:val="24"/>
                <w:lang w:eastAsia="lv-LV"/>
              </w:rPr>
              <w:t xml:space="preserve"> Nr. </w:t>
            </w:r>
            <w:r w:rsidR="009818C1" w:rsidRPr="00167CDF">
              <w:rPr>
                <w:rFonts w:ascii="Times New Roman" w:eastAsia="Times New Roman" w:hAnsi="Times New Roman" w:cs="Times New Roman"/>
                <w:color w:val="000000"/>
                <w:sz w:val="24"/>
                <w:szCs w:val="24"/>
                <w:lang w:eastAsia="lv-LV"/>
              </w:rPr>
              <w:t>ESMA35-43-3565</w:t>
            </w:r>
            <w:r w:rsidR="006B2FDB">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attiecībā uz interešu konflikta pārvaldīšanu, sniedzot</w:t>
            </w:r>
            <w:r w:rsidR="005C49E0">
              <w:rPr>
                <w:rFonts w:ascii="Times New Roman" w:eastAsia="Times New Roman" w:hAnsi="Times New Roman" w:cs="Times New Roman"/>
                <w:color w:val="000000"/>
                <w:sz w:val="24"/>
                <w:szCs w:val="24"/>
                <w:lang w:eastAsia="lv-LV"/>
              </w:rPr>
              <w:t xml:space="preserve"> ieguldījumu pakalpojumus un blakuspakalpojumus</w:t>
            </w:r>
            <w:r w:rsidR="006B2FDB">
              <w:rPr>
                <w:rFonts w:ascii="Times New Roman" w:eastAsia="Times New Roman" w:hAnsi="Times New Roman" w:cs="Times New Roman"/>
                <w:color w:val="000000"/>
                <w:sz w:val="24"/>
                <w:szCs w:val="24"/>
                <w:lang w:eastAsia="lv-LV"/>
              </w:rPr>
              <w:t xml:space="preserve">, </w:t>
            </w:r>
            <w:r w:rsidR="00250CBD">
              <w:rPr>
                <w:rFonts w:ascii="Times New Roman" w:eastAsia="Times New Roman" w:hAnsi="Times New Roman" w:cs="Times New Roman"/>
                <w:color w:val="000000"/>
                <w:sz w:val="24"/>
                <w:szCs w:val="24"/>
                <w:lang w:eastAsia="lv-LV"/>
              </w:rPr>
              <w:t xml:space="preserve">kas aizstāj </w:t>
            </w:r>
            <w:r w:rsidR="00AE64DD">
              <w:rPr>
                <w:rFonts w:ascii="Times New Roman" w:eastAsia="Times New Roman" w:hAnsi="Times New Roman" w:cs="Times New Roman"/>
                <w:color w:val="000000"/>
                <w:sz w:val="24"/>
                <w:szCs w:val="24"/>
                <w:lang w:eastAsia="lv-LV"/>
              </w:rPr>
              <w:t>n</w:t>
            </w:r>
            <w:r w:rsidR="00250CBD">
              <w:rPr>
                <w:rFonts w:ascii="Times New Roman" w:eastAsia="Times New Roman" w:hAnsi="Times New Roman" w:cs="Times New Roman"/>
                <w:color w:val="000000"/>
                <w:sz w:val="24"/>
                <w:szCs w:val="24"/>
                <w:lang w:eastAsia="lv-LV"/>
              </w:rPr>
              <w:t>oteikumos Nr.</w:t>
            </w:r>
            <w:r w:rsidR="00BA2695">
              <w:rPr>
                <w:rFonts w:ascii="Times New Roman" w:eastAsia="Times New Roman" w:hAnsi="Times New Roman" w:cs="Times New Roman"/>
                <w:color w:val="000000"/>
                <w:sz w:val="24"/>
                <w:szCs w:val="24"/>
                <w:lang w:eastAsia="lv-LV"/>
              </w:rPr>
              <w:t> </w:t>
            </w:r>
            <w:r w:rsidR="00250CBD">
              <w:rPr>
                <w:rFonts w:ascii="Times New Roman" w:eastAsia="Times New Roman" w:hAnsi="Times New Roman" w:cs="Times New Roman"/>
                <w:color w:val="000000"/>
                <w:sz w:val="24"/>
                <w:szCs w:val="24"/>
                <w:lang w:eastAsia="lv-LV"/>
              </w:rPr>
              <w:t xml:space="preserve">162 ietverto atsauci uz </w:t>
            </w:r>
            <w:r w:rsidR="00250CBD" w:rsidRPr="00167CDF">
              <w:rPr>
                <w:rFonts w:ascii="Times New Roman" w:eastAsia="Times New Roman" w:hAnsi="Times New Roman" w:cs="Times New Roman"/>
                <w:color w:val="000000"/>
                <w:sz w:val="24"/>
                <w:szCs w:val="24"/>
                <w:lang w:eastAsia="lv-LV"/>
              </w:rPr>
              <w:t>Eiropas Vērtspapīru un tirgu iestādes</w:t>
            </w:r>
            <w:r w:rsidR="00250CBD">
              <w:rPr>
                <w:rFonts w:ascii="Times New Roman" w:eastAsia="Times New Roman" w:hAnsi="Times New Roman" w:cs="Times New Roman"/>
                <w:color w:val="000000"/>
                <w:sz w:val="24"/>
                <w:szCs w:val="24"/>
                <w:lang w:eastAsia="lv-LV"/>
              </w:rPr>
              <w:t xml:space="preserve"> 2</w:t>
            </w:r>
            <w:r w:rsidR="00250CBD" w:rsidRPr="00DF2AA6">
              <w:rPr>
                <w:rFonts w:ascii="Times New Roman" w:eastAsia="Times New Roman" w:hAnsi="Times New Roman" w:cs="Times New Roman"/>
                <w:color w:val="000000"/>
                <w:sz w:val="24"/>
                <w:szCs w:val="24"/>
                <w:lang w:eastAsia="lv-LV"/>
              </w:rPr>
              <w:t>022.</w:t>
            </w:r>
            <w:r w:rsidR="00BA2695">
              <w:rPr>
                <w:rFonts w:ascii="Times New Roman" w:eastAsia="Times New Roman" w:hAnsi="Times New Roman" w:cs="Times New Roman"/>
                <w:color w:val="000000"/>
                <w:sz w:val="24"/>
                <w:szCs w:val="24"/>
                <w:lang w:eastAsia="lv-LV"/>
              </w:rPr>
              <w:t> </w:t>
            </w:r>
            <w:r w:rsidR="00250CBD" w:rsidRPr="00DF2AA6">
              <w:rPr>
                <w:rFonts w:ascii="Times New Roman" w:eastAsia="Times New Roman" w:hAnsi="Times New Roman" w:cs="Times New Roman"/>
                <w:color w:val="000000"/>
                <w:sz w:val="24"/>
                <w:szCs w:val="24"/>
                <w:lang w:eastAsia="lv-LV"/>
              </w:rPr>
              <w:t>gada 31.</w:t>
            </w:r>
            <w:r w:rsidR="00BA2695">
              <w:rPr>
                <w:rFonts w:ascii="Times New Roman" w:eastAsia="Times New Roman" w:hAnsi="Times New Roman" w:cs="Times New Roman"/>
                <w:color w:val="000000"/>
                <w:sz w:val="24"/>
                <w:szCs w:val="24"/>
                <w:lang w:eastAsia="lv-LV"/>
              </w:rPr>
              <w:t> </w:t>
            </w:r>
            <w:r w:rsidR="00250CBD" w:rsidRPr="00DF2AA6">
              <w:rPr>
                <w:rFonts w:ascii="Times New Roman" w:eastAsia="Times New Roman" w:hAnsi="Times New Roman" w:cs="Times New Roman"/>
                <w:color w:val="000000"/>
                <w:sz w:val="24"/>
                <w:szCs w:val="24"/>
                <w:lang w:eastAsia="lv-LV"/>
              </w:rPr>
              <w:t>marta pamatnostādnēm ESMA35-36-2537 "Pamatnostādnes par dažiem no FITD</w:t>
            </w:r>
            <w:r w:rsidR="00BA2695">
              <w:rPr>
                <w:rFonts w:ascii="Times New Roman" w:eastAsia="Times New Roman" w:hAnsi="Times New Roman" w:cs="Times New Roman"/>
                <w:color w:val="000000"/>
                <w:sz w:val="24"/>
                <w:szCs w:val="24"/>
                <w:lang w:eastAsia="lv-LV"/>
              </w:rPr>
              <w:t> </w:t>
            </w:r>
            <w:r w:rsidR="00250CBD" w:rsidRPr="00DF2AA6">
              <w:rPr>
                <w:rFonts w:ascii="Times New Roman" w:eastAsia="Times New Roman" w:hAnsi="Times New Roman" w:cs="Times New Roman"/>
                <w:color w:val="000000"/>
                <w:sz w:val="24"/>
                <w:szCs w:val="24"/>
                <w:lang w:eastAsia="lv-LV"/>
              </w:rPr>
              <w:t>II prasībām izrietošajiem aspektiem atalgojumam"</w:t>
            </w:r>
            <w:r w:rsidR="00BF47B0">
              <w:rPr>
                <w:rFonts w:ascii="Times New Roman" w:eastAsia="Times New Roman" w:hAnsi="Times New Roman" w:cs="Times New Roman"/>
                <w:color w:val="000000"/>
                <w:sz w:val="24"/>
                <w:szCs w:val="24"/>
                <w:lang w:eastAsia="lv-LV"/>
              </w:rPr>
              <w:t>. P</w:t>
            </w:r>
            <w:r w:rsidR="00DF2AA6">
              <w:rPr>
                <w:rFonts w:ascii="Times New Roman" w:eastAsia="Times New Roman" w:hAnsi="Times New Roman" w:cs="Times New Roman"/>
                <w:color w:val="000000"/>
                <w:sz w:val="24"/>
                <w:szCs w:val="24"/>
                <w:lang w:eastAsia="lv-LV"/>
              </w:rPr>
              <w:t>ēc būtības</w:t>
            </w:r>
            <w:r w:rsidR="00250CBD">
              <w:rPr>
                <w:rFonts w:ascii="Times New Roman" w:eastAsia="Times New Roman" w:hAnsi="Times New Roman" w:cs="Times New Roman"/>
                <w:color w:val="000000"/>
                <w:sz w:val="24"/>
                <w:szCs w:val="24"/>
                <w:lang w:eastAsia="lv-LV"/>
              </w:rPr>
              <w:t xml:space="preserve"> šie dokumenti satur identiskas prasības, </w:t>
            </w:r>
            <w:r w:rsidR="00BF47B0">
              <w:rPr>
                <w:rFonts w:ascii="Times New Roman" w:eastAsia="Times New Roman" w:hAnsi="Times New Roman" w:cs="Times New Roman"/>
                <w:color w:val="000000"/>
                <w:sz w:val="24"/>
                <w:szCs w:val="24"/>
                <w:lang w:eastAsia="lv-LV"/>
              </w:rPr>
              <w:t>tādēļ ieguldījumu brokeru</w:t>
            </w:r>
            <w:r w:rsidR="00250CBD">
              <w:rPr>
                <w:rFonts w:ascii="Times New Roman" w:eastAsia="Times New Roman" w:hAnsi="Times New Roman" w:cs="Times New Roman"/>
                <w:color w:val="000000"/>
                <w:sz w:val="24"/>
                <w:szCs w:val="24"/>
                <w:lang w:eastAsia="lv-LV"/>
              </w:rPr>
              <w:t xml:space="preserve"> sabiedrīb</w:t>
            </w:r>
            <w:r w:rsidR="00DF2AA6">
              <w:rPr>
                <w:rFonts w:ascii="Times New Roman" w:eastAsia="Times New Roman" w:hAnsi="Times New Roman" w:cs="Times New Roman"/>
                <w:color w:val="000000"/>
                <w:sz w:val="24"/>
                <w:szCs w:val="24"/>
                <w:lang w:eastAsia="lv-LV"/>
              </w:rPr>
              <w:t xml:space="preserve">ām nav jāievieš jauna prakse, lai ievērotu Pamatnostādnēs </w:t>
            </w:r>
            <w:r w:rsidR="004B1569">
              <w:rPr>
                <w:rFonts w:ascii="Times New Roman" w:eastAsia="Times New Roman" w:hAnsi="Times New Roman" w:cs="Times New Roman"/>
                <w:color w:val="000000"/>
                <w:sz w:val="24"/>
                <w:szCs w:val="24"/>
                <w:lang w:eastAsia="lv-LV"/>
              </w:rPr>
              <w:t>Nr. </w:t>
            </w:r>
            <w:r w:rsidR="004B1569" w:rsidRPr="00167CDF">
              <w:rPr>
                <w:rFonts w:ascii="Times New Roman" w:eastAsia="Times New Roman" w:hAnsi="Times New Roman" w:cs="Times New Roman"/>
                <w:color w:val="000000"/>
                <w:sz w:val="24"/>
                <w:szCs w:val="24"/>
                <w:lang w:eastAsia="lv-LV"/>
              </w:rPr>
              <w:t>ESMA35-43-3565</w:t>
            </w:r>
            <w:r w:rsidR="004B1569">
              <w:rPr>
                <w:rFonts w:ascii="Times New Roman" w:eastAsia="Times New Roman" w:hAnsi="Times New Roman" w:cs="Times New Roman"/>
                <w:color w:val="000000"/>
                <w:sz w:val="24"/>
                <w:szCs w:val="24"/>
                <w:lang w:eastAsia="lv-LV"/>
              </w:rPr>
              <w:t xml:space="preserve"> </w:t>
            </w:r>
            <w:r w:rsidR="00DF2AA6">
              <w:rPr>
                <w:rFonts w:ascii="Times New Roman" w:eastAsia="Times New Roman" w:hAnsi="Times New Roman" w:cs="Times New Roman"/>
                <w:color w:val="000000"/>
                <w:sz w:val="24"/>
                <w:szCs w:val="24"/>
                <w:lang w:eastAsia="lv-LV"/>
              </w:rPr>
              <w:t>norādīto</w:t>
            </w:r>
            <w:r w:rsidR="00E8456B">
              <w:rPr>
                <w:rFonts w:ascii="Times New Roman" w:eastAsia="Times New Roman" w:hAnsi="Times New Roman" w:cs="Times New Roman"/>
                <w:color w:val="000000"/>
                <w:sz w:val="24"/>
                <w:szCs w:val="24"/>
                <w:lang w:eastAsia="lv-LV"/>
              </w:rPr>
              <w:t>. N</w:t>
            </w:r>
            <w:r w:rsidR="00716CA2">
              <w:rPr>
                <w:rFonts w:ascii="Times New Roman" w:eastAsia="Times New Roman" w:hAnsi="Times New Roman" w:cs="Times New Roman"/>
                <w:color w:val="000000"/>
                <w:sz w:val="24"/>
                <w:szCs w:val="24"/>
                <w:lang w:eastAsia="lv-LV"/>
              </w:rPr>
              <w:t xml:space="preserve">oteikumu </w:t>
            </w:r>
            <w:r w:rsidR="00E8456B">
              <w:rPr>
                <w:rFonts w:ascii="Times New Roman" w:eastAsia="Times New Roman" w:hAnsi="Times New Roman" w:cs="Times New Roman"/>
                <w:color w:val="000000"/>
                <w:sz w:val="24"/>
                <w:szCs w:val="24"/>
                <w:lang w:eastAsia="lv-LV"/>
              </w:rPr>
              <w:t xml:space="preserve">projekta </w:t>
            </w:r>
            <w:r w:rsidR="00716CA2">
              <w:rPr>
                <w:rFonts w:ascii="Times New Roman" w:eastAsia="Times New Roman" w:hAnsi="Times New Roman" w:cs="Times New Roman"/>
                <w:color w:val="000000"/>
                <w:sz w:val="24"/>
                <w:szCs w:val="24"/>
                <w:lang w:eastAsia="lv-LV"/>
              </w:rPr>
              <w:t xml:space="preserve">tvērumam atbilstošas </w:t>
            </w:r>
            <w:r w:rsidR="00716CA2" w:rsidRPr="009A7F3C">
              <w:rPr>
                <w:rFonts w:ascii="Times New Roman" w:eastAsia="Times New Roman" w:hAnsi="Times New Roman" w:cs="Times New Roman"/>
                <w:sz w:val="24"/>
                <w:szCs w:val="24"/>
                <w:lang w:eastAsia="lv-LV"/>
              </w:rPr>
              <w:t>ārvalstu ieguldījumu brokeru sabiedrību filiāl</w:t>
            </w:r>
            <w:r w:rsidR="00716CA2">
              <w:rPr>
                <w:rFonts w:ascii="Times New Roman" w:eastAsia="Times New Roman" w:hAnsi="Times New Roman" w:cs="Times New Roman"/>
                <w:sz w:val="24"/>
                <w:szCs w:val="24"/>
                <w:lang w:eastAsia="lv-LV"/>
              </w:rPr>
              <w:t>es</w:t>
            </w:r>
            <w:r w:rsidR="00716CA2" w:rsidRPr="009A7F3C">
              <w:rPr>
                <w:rFonts w:ascii="Times New Roman" w:eastAsia="Times New Roman" w:hAnsi="Times New Roman" w:cs="Times New Roman"/>
                <w:sz w:val="24"/>
                <w:szCs w:val="24"/>
                <w:lang w:eastAsia="lv-LV"/>
              </w:rPr>
              <w:t>, ieguldījumu pārvaldītājsabiedrīb</w:t>
            </w:r>
            <w:r w:rsidR="00716CA2">
              <w:rPr>
                <w:rFonts w:ascii="Times New Roman" w:eastAsia="Times New Roman" w:hAnsi="Times New Roman" w:cs="Times New Roman"/>
                <w:sz w:val="24"/>
                <w:szCs w:val="24"/>
                <w:lang w:eastAsia="lv-LV"/>
              </w:rPr>
              <w:t>as</w:t>
            </w:r>
            <w:r w:rsidR="00716CA2" w:rsidRPr="009A7F3C">
              <w:rPr>
                <w:rFonts w:ascii="Times New Roman" w:eastAsia="Times New Roman" w:hAnsi="Times New Roman" w:cs="Times New Roman"/>
                <w:sz w:val="24"/>
                <w:szCs w:val="24"/>
                <w:lang w:eastAsia="lv-LV"/>
              </w:rPr>
              <w:t>, jaukt</w:t>
            </w:r>
            <w:r w:rsidR="00550114">
              <w:rPr>
                <w:rFonts w:ascii="Times New Roman" w:eastAsia="Times New Roman" w:hAnsi="Times New Roman" w:cs="Times New Roman"/>
                <w:sz w:val="24"/>
                <w:szCs w:val="24"/>
                <w:lang w:eastAsia="lv-LV"/>
              </w:rPr>
              <w:t>a</w:t>
            </w:r>
            <w:r w:rsidR="00716CA2">
              <w:rPr>
                <w:rFonts w:ascii="Times New Roman" w:eastAsia="Times New Roman" w:hAnsi="Times New Roman" w:cs="Times New Roman"/>
                <w:sz w:val="24"/>
                <w:szCs w:val="24"/>
                <w:lang w:eastAsia="lv-LV"/>
              </w:rPr>
              <w:t>s</w:t>
            </w:r>
            <w:r w:rsidR="00716CA2" w:rsidRPr="009A7F3C">
              <w:rPr>
                <w:rFonts w:ascii="Times New Roman" w:eastAsia="Times New Roman" w:hAnsi="Times New Roman" w:cs="Times New Roman"/>
                <w:sz w:val="24"/>
                <w:szCs w:val="24"/>
                <w:lang w:eastAsia="lv-LV"/>
              </w:rPr>
              <w:t xml:space="preserve"> finanšu pārvaldītājsabiedrīb</w:t>
            </w:r>
            <w:r w:rsidR="00716CA2">
              <w:rPr>
                <w:rFonts w:ascii="Times New Roman" w:eastAsia="Times New Roman" w:hAnsi="Times New Roman" w:cs="Times New Roman"/>
                <w:sz w:val="24"/>
                <w:szCs w:val="24"/>
                <w:lang w:eastAsia="lv-LV"/>
              </w:rPr>
              <w:t>as</w:t>
            </w:r>
            <w:r w:rsidR="00716CA2" w:rsidRPr="009A7F3C">
              <w:rPr>
                <w:rFonts w:ascii="Times New Roman" w:eastAsia="Times New Roman" w:hAnsi="Times New Roman" w:cs="Times New Roman"/>
                <w:sz w:val="24"/>
                <w:szCs w:val="24"/>
                <w:lang w:eastAsia="lv-LV"/>
              </w:rPr>
              <w:t xml:space="preserve"> un jauktas darbības pārvaldītājsabiedrīb</w:t>
            </w:r>
            <w:r w:rsidR="00716CA2">
              <w:rPr>
                <w:rFonts w:ascii="Times New Roman" w:eastAsia="Times New Roman" w:hAnsi="Times New Roman" w:cs="Times New Roman"/>
                <w:sz w:val="24"/>
                <w:szCs w:val="24"/>
                <w:lang w:eastAsia="lv-LV"/>
              </w:rPr>
              <w:t xml:space="preserve">as </w:t>
            </w:r>
            <w:r w:rsidR="00716CA2">
              <w:rPr>
                <w:rFonts w:ascii="Times New Roman" w:eastAsia="Times New Roman" w:hAnsi="Times New Roman" w:cs="Times New Roman"/>
                <w:color w:val="000000"/>
                <w:sz w:val="24"/>
                <w:szCs w:val="24"/>
                <w:lang w:eastAsia="lv-LV"/>
              </w:rPr>
              <w:t>Latvijā nav licencētas;</w:t>
            </w:r>
          </w:p>
          <w:p w14:paraId="3FC20CA9" w14:textId="3DC4ABCD" w:rsidR="00F00AA2" w:rsidRPr="00F00AA2" w:rsidRDefault="00F00AA2" w:rsidP="00685AE6">
            <w:pPr>
              <w:pStyle w:val="ListParagraph"/>
              <w:numPr>
                <w:ilvl w:val="0"/>
                <w:numId w:val="14"/>
              </w:numPr>
              <w:tabs>
                <w:tab w:val="left" w:pos="312"/>
                <w:tab w:val="left" w:pos="340"/>
              </w:tabs>
              <w:spacing w:after="120" w:line="240" w:lineRule="auto"/>
              <w:ind w:left="0" w:firstLine="18"/>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svītrotas prasības, kas attiecas uz atalgojuma komitejas darbību (</w:t>
            </w:r>
            <w:r w:rsidR="00AE64DD">
              <w:rPr>
                <w:rFonts w:ascii="Times New Roman" w:eastAsia="Times New Roman" w:hAnsi="Times New Roman" w:cs="Times New Roman"/>
                <w:color w:val="000000"/>
                <w:sz w:val="24"/>
                <w:szCs w:val="24"/>
                <w:lang w:eastAsia="lv-LV"/>
              </w:rPr>
              <w:t xml:space="preserve">noteikumu Nr. 162 </w:t>
            </w:r>
            <w:r>
              <w:rPr>
                <w:rFonts w:ascii="Times New Roman" w:eastAsia="Times New Roman" w:hAnsi="Times New Roman" w:cs="Times New Roman"/>
                <w:color w:val="000000"/>
                <w:sz w:val="24"/>
                <w:szCs w:val="24"/>
                <w:lang w:eastAsia="lv-LV"/>
              </w:rPr>
              <w:t>IV</w:t>
            </w:r>
            <w:r w:rsidR="00BA2695">
              <w:rPr>
                <w:rFonts w:ascii="Times New Roman" w:eastAsia="Times New Roman" w:hAnsi="Times New Roman" w:cs="Times New Roman"/>
                <w:color w:val="000000"/>
                <w:sz w:val="24"/>
                <w:szCs w:val="24"/>
                <w:lang w:eastAsia="lv-LV"/>
              </w:rPr>
              <w:t> </w:t>
            </w:r>
            <w:r w:rsidR="00AA7276">
              <w:rPr>
                <w:rFonts w:ascii="Times New Roman" w:eastAsia="Times New Roman" w:hAnsi="Times New Roman" w:cs="Times New Roman"/>
                <w:color w:val="000000"/>
                <w:sz w:val="24"/>
                <w:szCs w:val="24"/>
                <w:lang w:eastAsia="lv-LV"/>
              </w:rPr>
              <w:t>no</w:t>
            </w:r>
            <w:r>
              <w:rPr>
                <w:rFonts w:ascii="Times New Roman" w:eastAsia="Times New Roman" w:hAnsi="Times New Roman" w:cs="Times New Roman"/>
                <w:color w:val="000000"/>
                <w:sz w:val="24"/>
                <w:szCs w:val="24"/>
                <w:lang w:eastAsia="lv-LV"/>
              </w:rPr>
              <w:t>daļa)</w:t>
            </w:r>
            <w:r w:rsidR="00D06455">
              <w:rPr>
                <w:rFonts w:ascii="Times New Roman" w:eastAsia="Times New Roman" w:hAnsi="Times New Roman" w:cs="Times New Roman"/>
                <w:color w:val="000000"/>
                <w:sz w:val="24"/>
                <w:szCs w:val="24"/>
                <w:lang w:eastAsia="lv-LV"/>
              </w:rPr>
              <w:t>. M</w:t>
            </w:r>
            <w:r w:rsidR="00AA7276">
              <w:rPr>
                <w:rFonts w:ascii="Times New Roman" w:eastAsia="Times New Roman" w:hAnsi="Times New Roman" w:cs="Times New Roman"/>
                <w:color w:val="000000"/>
                <w:sz w:val="24"/>
                <w:szCs w:val="24"/>
                <w:lang w:eastAsia="lv-LV"/>
              </w:rPr>
              <w:t xml:space="preserve">inētās </w:t>
            </w:r>
            <w:r>
              <w:rPr>
                <w:rFonts w:ascii="Times New Roman" w:eastAsia="Times New Roman" w:hAnsi="Times New Roman" w:cs="Times New Roman"/>
                <w:color w:val="000000"/>
                <w:sz w:val="24"/>
                <w:szCs w:val="24"/>
                <w:lang w:eastAsia="lv-LV"/>
              </w:rPr>
              <w:t>prasības pārnestas uz Latvijas Bankas noteikum</w:t>
            </w:r>
            <w:r w:rsidR="00716CA2">
              <w:rPr>
                <w:rFonts w:ascii="Times New Roman" w:eastAsia="Times New Roman" w:hAnsi="Times New Roman" w:cs="Times New Roman"/>
                <w:color w:val="000000"/>
                <w:sz w:val="24"/>
                <w:szCs w:val="24"/>
                <w:lang w:eastAsia="lv-LV"/>
              </w:rPr>
              <w:t>u projektu</w:t>
            </w:r>
            <w:r>
              <w:rPr>
                <w:rFonts w:ascii="Times New Roman" w:eastAsia="Times New Roman" w:hAnsi="Times New Roman" w:cs="Times New Roman"/>
                <w:color w:val="000000"/>
                <w:sz w:val="24"/>
                <w:szCs w:val="24"/>
                <w:lang w:eastAsia="lv-LV"/>
              </w:rPr>
              <w:t>, kas no</w:t>
            </w:r>
            <w:r w:rsidR="00716CA2">
              <w:rPr>
                <w:rFonts w:ascii="Times New Roman" w:eastAsia="Times New Roman" w:hAnsi="Times New Roman" w:cs="Times New Roman"/>
                <w:color w:val="000000"/>
                <w:sz w:val="24"/>
                <w:szCs w:val="24"/>
                <w:lang w:eastAsia="lv-LV"/>
              </w:rPr>
              <w:t xml:space="preserve">teiks </w:t>
            </w:r>
            <w:r>
              <w:rPr>
                <w:rFonts w:ascii="Times New Roman" w:eastAsia="Times New Roman" w:hAnsi="Times New Roman" w:cs="Times New Roman"/>
                <w:color w:val="000000"/>
                <w:sz w:val="24"/>
                <w:szCs w:val="24"/>
                <w:lang w:eastAsia="lv-LV"/>
              </w:rPr>
              <w:t>prasības ieguldījumu brokeru sabiedrību</w:t>
            </w:r>
            <w:r w:rsidRPr="00A01B51">
              <w:rPr>
                <w:rFonts w:ascii="Times New Roman" w:eastAsia="Times New Roman" w:hAnsi="Times New Roman" w:cs="Times New Roman"/>
                <w:color w:val="000000"/>
                <w:sz w:val="24"/>
                <w:szCs w:val="24"/>
                <w:lang w:eastAsia="lv-LV"/>
              </w:rPr>
              <w:t xml:space="preserve"> pārvaldības sistēmas izveidei</w:t>
            </w:r>
            <w:r>
              <w:rPr>
                <w:rFonts w:ascii="Times New Roman" w:eastAsia="Times New Roman" w:hAnsi="Times New Roman" w:cs="Times New Roman"/>
                <w:color w:val="000000"/>
                <w:sz w:val="24"/>
                <w:szCs w:val="24"/>
                <w:lang w:eastAsia="lv-LV"/>
              </w:rPr>
              <w:t>, lai prasības, kas attiecas uz padomes komitejām</w:t>
            </w:r>
            <w:r w:rsidR="00AA7276">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 xml:space="preserve"> būtu noteiktas vienuviet;</w:t>
            </w:r>
          </w:p>
          <w:p w14:paraId="760710CA" w14:textId="1871124C" w:rsidR="00FA721C" w:rsidRPr="005D0C40" w:rsidRDefault="00EC59EE" w:rsidP="00685AE6">
            <w:pPr>
              <w:pStyle w:val="ListParagraph"/>
              <w:numPr>
                <w:ilvl w:val="0"/>
                <w:numId w:val="14"/>
              </w:numPr>
              <w:tabs>
                <w:tab w:val="left" w:pos="340"/>
              </w:tabs>
              <w:spacing w:after="120" w:line="240" w:lineRule="auto"/>
              <w:ind w:left="0" w:firstLine="18"/>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 </w:t>
            </w:r>
            <w:r w:rsidRPr="00180153">
              <w:rPr>
                <w:rFonts w:ascii="Times New Roman" w:eastAsia="Times New Roman" w:hAnsi="Times New Roman" w:cs="Times New Roman"/>
                <w:color w:val="000000"/>
                <w:sz w:val="24"/>
                <w:szCs w:val="24"/>
                <w:lang w:eastAsia="lv-LV"/>
              </w:rPr>
              <w:t>2025.</w:t>
            </w:r>
            <w:r w:rsidR="00BA2695" w:rsidRPr="00180153">
              <w:rPr>
                <w:rFonts w:ascii="Times New Roman" w:eastAsia="Times New Roman" w:hAnsi="Times New Roman" w:cs="Times New Roman"/>
                <w:color w:val="000000"/>
                <w:sz w:val="24"/>
                <w:szCs w:val="24"/>
                <w:lang w:eastAsia="lv-LV"/>
              </w:rPr>
              <w:t> </w:t>
            </w:r>
            <w:r w:rsidRPr="00180153">
              <w:rPr>
                <w:rFonts w:ascii="Times New Roman" w:eastAsia="Times New Roman" w:hAnsi="Times New Roman" w:cs="Times New Roman"/>
                <w:color w:val="000000"/>
                <w:sz w:val="24"/>
                <w:szCs w:val="24"/>
                <w:lang w:eastAsia="lv-LV"/>
              </w:rPr>
              <w:t xml:space="preserve">gada </w:t>
            </w:r>
            <w:r w:rsidR="00FA721C" w:rsidRPr="00180153">
              <w:rPr>
                <w:rFonts w:ascii="Times New Roman" w:eastAsia="Times New Roman" w:hAnsi="Times New Roman" w:cs="Times New Roman"/>
                <w:color w:val="000000"/>
                <w:sz w:val="24"/>
                <w:szCs w:val="24"/>
                <w:lang w:eastAsia="lv-LV"/>
              </w:rPr>
              <w:t>noteikumu projektā ietvert</w:t>
            </w:r>
            <w:r w:rsidR="00097B89" w:rsidRPr="00180153">
              <w:rPr>
                <w:rFonts w:ascii="Times New Roman" w:eastAsia="Times New Roman" w:hAnsi="Times New Roman" w:cs="Times New Roman"/>
                <w:color w:val="000000"/>
                <w:sz w:val="24"/>
                <w:szCs w:val="24"/>
                <w:lang w:eastAsia="lv-LV"/>
              </w:rPr>
              <w:t>ais</w:t>
            </w:r>
            <w:r w:rsidR="00FA721C" w:rsidRPr="00180153">
              <w:rPr>
                <w:rFonts w:ascii="Times New Roman" w:eastAsia="Times New Roman" w:hAnsi="Times New Roman" w:cs="Times New Roman"/>
                <w:color w:val="000000"/>
                <w:sz w:val="24"/>
                <w:szCs w:val="24"/>
                <w:lang w:eastAsia="lv-LV"/>
              </w:rPr>
              <w:t xml:space="preserve"> pārskat</w:t>
            </w:r>
            <w:r w:rsidR="00097B89" w:rsidRPr="00180153">
              <w:rPr>
                <w:rFonts w:ascii="Times New Roman" w:eastAsia="Times New Roman" w:hAnsi="Times New Roman" w:cs="Times New Roman"/>
                <w:color w:val="000000"/>
                <w:sz w:val="24"/>
                <w:szCs w:val="24"/>
                <w:lang w:eastAsia="lv-LV"/>
              </w:rPr>
              <w:t>s</w:t>
            </w:r>
            <w:r w:rsidR="00FA721C" w:rsidRPr="00180153">
              <w:rPr>
                <w:rFonts w:ascii="Times New Roman" w:eastAsia="Times New Roman" w:hAnsi="Times New Roman" w:cs="Times New Roman"/>
                <w:color w:val="000000"/>
                <w:sz w:val="24"/>
                <w:szCs w:val="24"/>
                <w:lang w:eastAsia="lv-LV"/>
              </w:rPr>
              <w:t xml:space="preserve"> tiks iesniegt</w:t>
            </w:r>
            <w:r w:rsidR="00097B89" w:rsidRPr="00180153">
              <w:rPr>
                <w:rFonts w:ascii="Times New Roman" w:eastAsia="Times New Roman" w:hAnsi="Times New Roman" w:cs="Times New Roman"/>
                <w:color w:val="000000"/>
                <w:sz w:val="24"/>
                <w:szCs w:val="24"/>
                <w:lang w:eastAsia="lv-LV"/>
              </w:rPr>
              <w:t>s</w:t>
            </w:r>
            <w:r w:rsidR="00FA721C" w:rsidRPr="00180153">
              <w:rPr>
                <w:rFonts w:ascii="Times New Roman" w:eastAsia="Times New Roman" w:hAnsi="Times New Roman" w:cs="Times New Roman"/>
                <w:color w:val="000000"/>
                <w:sz w:val="24"/>
                <w:szCs w:val="24"/>
                <w:lang w:eastAsia="lv-LV"/>
              </w:rPr>
              <w:t xml:space="preserve"> Latvijas Bankā, izmantojot </w:t>
            </w:r>
            <w:r w:rsidR="004B6ED3" w:rsidRPr="00180153">
              <w:rPr>
                <w:rFonts w:ascii="Times New Roman" w:eastAsia="Times New Roman" w:hAnsi="Times New Roman" w:cs="Times New Roman"/>
                <w:color w:val="000000"/>
                <w:sz w:val="24"/>
                <w:szCs w:val="24"/>
                <w:lang w:eastAsia="lv-LV"/>
              </w:rPr>
              <w:t>paaugstinātās drošības sistēmu</w:t>
            </w:r>
            <w:r w:rsidRPr="00180153">
              <w:rPr>
                <w:rFonts w:ascii="Times New Roman" w:eastAsia="Times New Roman" w:hAnsi="Times New Roman" w:cs="Times New Roman"/>
                <w:color w:val="000000"/>
                <w:sz w:val="24"/>
                <w:szCs w:val="24"/>
                <w:lang w:eastAsia="lv-LV"/>
              </w:rPr>
              <w:t xml:space="preserve"> (</w:t>
            </w:r>
            <w:r w:rsidR="004B6ED3" w:rsidRPr="00180153">
              <w:rPr>
                <w:rFonts w:ascii="Times New Roman" w:eastAsia="Times New Roman" w:hAnsi="Times New Roman" w:cs="Times New Roman"/>
                <w:color w:val="000000"/>
                <w:sz w:val="24"/>
                <w:szCs w:val="24"/>
                <w:lang w:eastAsia="lv-LV"/>
              </w:rPr>
              <w:t>FAS</w:t>
            </w:r>
            <w:r w:rsidR="000F6250" w:rsidRPr="00180153">
              <w:rPr>
                <w:rFonts w:ascii="Times New Roman" w:eastAsia="Times New Roman" w:hAnsi="Times New Roman" w:cs="Times New Roman"/>
                <w:color w:val="000000"/>
                <w:sz w:val="24"/>
                <w:szCs w:val="24"/>
                <w:lang w:eastAsia="lv-LV"/>
              </w:rPr>
              <w:t>), savukārt noteikumu projekta pielikumā ietverto pārskatu "Informācija par plānoto atalgojuma mainīgo daļu" iestādes sniegs, izmantojot oficiālo elektronisko adresi</w:t>
            </w:r>
            <w:r w:rsidR="000F6250">
              <w:rPr>
                <w:rFonts w:ascii="Times New Roman" w:eastAsia="Times New Roman" w:hAnsi="Times New Roman" w:cs="Times New Roman"/>
                <w:color w:val="000000"/>
                <w:sz w:val="24"/>
                <w:szCs w:val="24"/>
                <w:lang w:eastAsia="lv-LV"/>
              </w:rPr>
              <w:t>.</w:t>
            </w:r>
          </w:p>
          <w:bookmarkEnd w:id="1"/>
          <w:p w14:paraId="0D704356" w14:textId="2366B19D" w:rsidR="006C3828" w:rsidRPr="005D0C40" w:rsidRDefault="006C3828" w:rsidP="00685AE6">
            <w:pPr>
              <w:spacing w:after="120" w:line="240" w:lineRule="auto"/>
              <w:jc w:val="both"/>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Pārējās noteikumu projekta normas, kuras atšķiras</w:t>
            </w:r>
            <w:r w:rsidR="00071E26" w:rsidRPr="005D0C40">
              <w:rPr>
                <w:rFonts w:ascii="Times New Roman" w:eastAsia="Times New Roman" w:hAnsi="Times New Roman" w:cs="Times New Roman"/>
                <w:color w:val="000000"/>
                <w:sz w:val="24"/>
                <w:szCs w:val="24"/>
                <w:lang w:eastAsia="lv-LV"/>
              </w:rPr>
              <w:t xml:space="preserve"> </w:t>
            </w:r>
            <w:r w:rsidR="00C948CA" w:rsidRPr="005D0C40">
              <w:rPr>
                <w:rFonts w:ascii="Times New Roman" w:eastAsia="Times New Roman" w:hAnsi="Times New Roman" w:cs="Times New Roman"/>
                <w:color w:val="000000"/>
                <w:sz w:val="24"/>
                <w:szCs w:val="24"/>
                <w:lang w:eastAsia="lv-LV"/>
              </w:rPr>
              <w:t xml:space="preserve">no </w:t>
            </w:r>
            <w:r w:rsidR="00071E26" w:rsidRPr="005D0C40">
              <w:rPr>
                <w:rFonts w:ascii="Times New Roman" w:eastAsia="Times New Roman" w:hAnsi="Times New Roman" w:cs="Times New Roman"/>
                <w:color w:val="000000"/>
                <w:sz w:val="24"/>
                <w:szCs w:val="24"/>
                <w:lang w:eastAsia="lv-LV"/>
              </w:rPr>
              <w:t>pašlaik spēkā esošo noteikumu</w:t>
            </w:r>
            <w:r w:rsidR="00DF2AA6">
              <w:rPr>
                <w:rFonts w:ascii="Times New Roman" w:eastAsia="Times New Roman" w:hAnsi="Times New Roman" w:cs="Times New Roman"/>
                <w:color w:val="000000"/>
                <w:sz w:val="24"/>
                <w:szCs w:val="24"/>
                <w:lang w:eastAsia="lv-LV"/>
              </w:rPr>
              <w:t xml:space="preserve"> Nr.</w:t>
            </w:r>
            <w:r w:rsidR="00BA2695">
              <w:rPr>
                <w:rFonts w:ascii="Times New Roman" w:eastAsia="Times New Roman" w:hAnsi="Times New Roman" w:cs="Times New Roman"/>
                <w:color w:val="000000"/>
                <w:sz w:val="24"/>
                <w:szCs w:val="24"/>
                <w:lang w:eastAsia="lv-LV"/>
              </w:rPr>
              <w:t> </w:t>
            </w:r>
            <w:r w:rsidR="00DF2AA6">
              <w:rPr>
                <w:rFonts w:ascii="Times New Roman" w:eastAsia="Times New Roman" w:hAnsi="Times New Roman" w:cs="Times New Roman"/>
                <w:color w:val="000000"/>
                <w:sz w:val="24"/>
                <w:szCs w:val="24"/>
                <w:lang w:eastAsia="lv-LV"/>
              </w:rPr>
              <w:t>162</w:t>
            </w:r>
            <w:r w:rsidR="00071E26" w:rsidRPr="005D0C40">
              <w:rPr>
                <w:rFonts w:ascii="Times New Roman" w:eastAsia="Times New Roman" w:hAnsi="Times New Roman" w:cs="Times New Roman"/>
                <w:color w:val="000000"/>
                <w:sz w:val="24"/>
                <w:szCs w:val="24"/>
                <w:lang w:eastAsia="lv-LV"/>
              </w:rPr>
              <w:t xml:space="preserve"> </w:t>
            </w:r>
            <w:r w:rsidRPr="005D0C40">
              <w:rPr>
                <w:rFonts w:ascii="Times New Roman" w:eastAsia="Times New Roman" w:hAnsi="Times New Roman" w:cs="Times New Roman"/>
                <w:color w:val="000000"/>
                <w:sz w:val="24"/>
                <w:szCs w:val="24"/>
                <w:lang w:eastAsia="lv-LV"/>
              </w:rPr>
              <w:t xml:space="preserve">atbilstošajām normām, paredz </w:t>
            </w:r>
            <w:r w:rsidR="002A1170">
              <w:rPr>
                <w:rFonts w:ascii="Times New Roman" w:eastAsia="Times New Roman" w:hAnsi="Times New Roman" w:cs="Times New Roman"/>
                <w:color w:val="000000"/>
                <w:sz w:val="24"/>
                <w:szCs w:val="24"/>
                <w:lang w:eastAsia="lv-LV"/>
              </w:rPr>
              <w:t xml:space="preserve">redakcionāla vai </w:t>
            </w:r>
            <w:r w:rsidRPr="005D0C40">
              <w:rPr>
                <w:rFonts w:ascii="Times New Roman" w:eastAsia="Times New Roman" w:hAnsi="Times New Roman" w:cs="Times New Roman"/>
                <w:color w:val="000000"/>
                <w:sz w:val="24"/>
                <w:szCs w:val="24"/>
                <w:lang w:eastAsia="lv-LV"/>
              </w:rPr>
              <w:t>tehniska rakstura precizējumus un pamatā ir saistītas ar numerācijas maiņu un ar to saistīto atsauču precizēšanu un terminu aktualizēšanu.</w:t>
            </w:r>
          </w:p>
        </w:tc>
      </w:tr>
      <w:tr w:rsidR="006C3828" w:rsidRPr="00894D21" w14:paraId="1068B2B5" w14:textId="77777777" w:rsidTr="00EB2E5D">
        <w:trPr>
          <w:trHeight w:val="567"/>
        </w:trPr>
        <w:tc>
          <w:tcPr>
            <w:tcW w:w="1573" w:type="pct"/>
            <w:shd w:val="clear" w:color="auto" w:fill="auto"/>
            <w:hideMark/>
          </w:tcPr>
          <w:p w14:paraId="2C814FF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12FD857D" w14:textId="7A469F2F" w:rsidR="006C3828" w:rsidRPr="00894D21" w:rsidRDefault="006C3828" w:rsidP="00550114">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77777777" w:rsidR="006C3828" w:rsidRPr="00894D21" w:rsidRDefault="006C3828" w:rsidP="00550114">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550114">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20BF953" w14:textId="4236D4E8" w:rsidR="007D4BE3" w:rsidRPr="00BC0CBB" w:rsidRDefault="006C3828" w:rsidP="00094F5F">
            <w:pPr>
              <w:tabs>
                <w:tab w:val="left" w:pos="5114"/>
              </w:tabs>
              <w:spacing w:after="120" w:line="240" w:lineRule="auto"/>
              <w:jc w:val="both"/>
              <w:outlineLvl w:val="1"/>
              <w:rPr>
                <w:rFonts w:ascii="Times New Roman" w:eastAsia="Times New Roman" w:hAnsi="Times New Roman" w:cs="Times New Roman"/>
                <w:iCs/>
                <w:sz w:val="24"/>
                <w:szCs w:val="24"/>
              </w:rPr>
            </w:pPr>
            <w:r w:rsidRPr="00894D21">
              <w:rPr>
                <w:rFonts w:ascii="Times New Roman" w:eastAsia="Times New Roman" w:hAnsi="Times New Roman" w:cs="Times New Roman"/>
                <w:sz w:val="24"/>
                <w:szCs w:val="24"/>
                <w:lang w:eastAsia="lv-LV"/>
              </w:rPr>
              <w:t xml:space="preserve">Nosakot </w:t>
            </w:r>
            <w:r w:rsidR="00BF47B0">
              <w:rPr>
                <w:rFonts w:ascii="Times New Roman" w:eastAsia="Times New Roman" w:hAnsi="Times New Roman" w:cs="Times New Roman"/>
                <w:sz w:val="24"/>
                <w:szCs w:val="24"/>
                <w:lang w:eastAsia="lv-LV"/>
              </w:rPr>
              <w:t xml:space="preserve">iestādēm </w:t>
            </w:r>
            <w:r w:rsidRPr="00894D21">
              <w:rPr>
                <w:rFonts w:ascii="Times New Roman" w:eastAsia="Times New Roman" w:hAnsi="Times New Roman" w:cs="Times New Roman"/>
                <w:sz w:val="24"/>
                <w:szCs w:val="24"/>
                <w:lang w:eastAsia="lv-LV"/>
              </w:rPr>
              <w:t>prasības un veicot to ievērošanas pārbaudes, Latvijas Banka nodrošina tai Latvijas Bankas likumā noteikto 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veicināt ieguldītāju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r w:rsidR="00056B91" w:rsidRPr="00894D21">
              <w:rPr>
                <w:rFonts w:ascii="Times New Roman" w:eastAsia="Times New Roman" w:hAnsi="Times New Roman" w:cs="Times New Roman"/>
                <w:sz w:val="24"/>
                <w:szCs w:val="24"/>
                <w:lang w:eastAsia="lv-LV"/>
              </w:rPr>
              <w:t xml:space="preserve">Līdz ar to </w:t>
            </w:r>
            <w:r w:rsidR="00A35C14" w:rsidRPr="00894D21">
              <w:rPr>
                <w:rFonts w:ascii="Times New Roman" w:eastAsia="Times New Roman" w:hAnsi="Times New Roman" w:cs="Times New Roman"/>
                <w:sz w:val="24"/>
                <w:szCs w:val="24"/>
                <w:lang w:eastAsia="lv-LV"/>
              </w:rPr>
              <w:t>n</w:t>
            </w:r>
            <w:r w:rsidR="007D4BE3" w:rsidRPr="00894D21">
              <w:rPr>
                <w:rFonts w:ascii="Times New Roman" w:eastAsia="Times New Roman" w:hAnsi="Times New Roman" w:cs="Times New Roman"/>
                <w:sz w:val="24"/>
                <w:szCs w:val="24"/>
                <w:lang w:eastAsia="lv-LV"/>
              </w:rPr>
              <w:t>oteikum</w:t>
            </w:r>
            <w:r w:rsidR="00056B91" w:rsidRPr="00894D21">
              <w:rPr>
                <w:rFonts w:ascii="Times New Roman" w:eastAsia="Times New Roman" w:hAnsi="Times New Roman" w:cs="Times New Roman"/>
                <w:sz w:val="24"/>
                <w:szCs w:val="24"/>
                <w:lang w:eastAsia="lv-LV"/>
              </w:rPr>
              <w:t>u projekts</w:t>
            </w:r>
            <w:r w:rsidR="007D4BE3" w:rsidRPr="00894D21">
              <w:rPr>
                <w:rFonts w:ascii="Times New Roman" w:eastAsia="Times New Roman" w:hAnsi="Times New Roman" w:cs="Times New Roman"/>
                <w:sz w:val="24"/>
                <w:szCs w:val="24"/>
                <w:lang w:eastAsia="lv-LV"/>
              </w:rPr>
              <w:t xml:space="preserve"> ir nepieciešam</w:t>
            </w:r>
            <w:r w:rsidR="00056B91" w:rsidRPr="00894D21">
              <w:rPr>
                <w:rFonts w:ascii="Times New Roman" w:eastAsia="Times New Roman" w:hAnsi="Times New Roman" w:cs="Times New Roman"/>
                <w:sz w:val="24"/>
                <w:szCs w:val="24"/>
                <w:lang w:eastAsia="lv-LV"/>
              </w:rPr>
              <w:t>s</w:t>
            </w:r>
            <w:r w:rsidR="007D4BE3" w:rsidRPr="00894D21">
              <w:rPr>
                <w:rFonts w:ascii="Times New Roman" w:eastAsia="Times New Roman" w:hAnsi="Times New Roman" w:cs="Times New Roman"/>
                <w:sz w:val="24"/>
                <w:szCs w:val="24"/>
                <w:lang w:eastAsia="lv-LV"/>
              </w:rPr>
              <w:t xml:space="preserve">, lai </w:t>
            </w:r>
            <w:r w:rsidR="00746B48" w:rsidRPr="00894D21">
              <w:rPr>
                <w:rFonts w:ascii="Times New Roman" w:eastAsia="Times New Roman" w:hAnsi="Times New Roman" w:cs="Times New Roman"/>
                <w:sz w:val="24"/>
                <w:szCs w:val="24"/>
                <w:lang w:eastAsia="lv-LV"/>
              </w:rPr>
              <w:t xml:space="preserve">Latvijas Banka </w:t>
            </w:r>
            <w:r w:rsidR="00482DA3" w:rsidRPr="00482DA3">
              <w:rPr>
                <w:rFonts w:ascii="Times New Roman" w:eastAsia="Times New Roman" w:hAnsi="Times New Roman" w:cs="Times New Roman"/>
                <w:sz w:val="24"/>
                <w:szCs w:val="24"/>
                <w:lang w:eastAsia="lv-LV"/>
              </w:rPr>
              <w:t xml:space="preserve">noteiktu </w:t>
            </w:r>
            <w:r w:rsidR="00BC0CBB">
              <w:rPr>
                <w:rFonts w:ascii="Times New Roman" w:eastAsia="Times New Roman" w:hAnsi="Times New Roman" w:cs="Times New Roman"/>
                <w:iCs/>
                <w:sz w:val="24"/>
                <w:szCs w:val="24"/>
              </w:rPr>
              <w:t xml:space="preserve">vienotas prasības </w:t>
            </w:r>
            <w:r w:rsidR="006C57E6">
              <w:rPr>
                <w:rFonts w:ascii="Times New Roman" w:eastAsia="Times New Roman" w:hAnsi="Times New Roman" w:cs="Times New Roman"/>
                <w:iCs/>
                <w:sz w:val="24"/>
                <w:szCs w:val="24"/>
              </w:rPr>
              <w:t>iestāžu</w:t>
            </w:r>
            <w:r w:rsidR="00BC0CBB">
              <w:rPr>
                <w:rFonts w:ascii="Times New Roman" w:eastAsia="Times New Roman" w:hAnsi="Times New Roman" w:cs="Times New Roman"/>
                <w:iCs/>
                <w:sz w:val="24"/>
                <w:szCs w:val="24"/>
              </w:rPr>
              <w:t xml:space="preserve"> atalgojuma sistēmas izveidei, t.</w:t>
            </w:r>
            <w:r w:rsidR="00AA074D">
              <w:rPr>
                <w:rFonts w:ascii="Times New Roman" w:eastAsia="Times New Roman" w:hAnsi="Times New Roman" w:cs="Times New Roman"/>
                <w:iCs/>
                <w:sz w:val="24"/>
                <w:szCs w:val="24"/>
              </w:rPr>
              <w:t> </w:t>
            </w:r>
            <w:r w:rsidR="00BC0CBB">
              <w:rPr>
                <w:rFonts w:ascii="Times New Roman" w:eastAsia="Times New Roman" w:hAnsi="Times New Roman" w:cs="Times New Roman"/>
                <w:iCs/>
                <w:sz w:val="24"/>
                <w:szCs w:val="24"/>
              </w:rPr>
              <w:t xml:space="preserve">i., prasības </w:t>
            </w:r>
            <w:r w:rsidR="00BC0CBB">
              <w:rPr>
                <w:rFonts w:ascii="Times New Roman" w:eastAsia="Times New Roman" w:hAnsi="Times New Roman" w:cs="Times New Roman"/>
                <w:sz w:val="24"/>
                <w:szCs w:val="24"/>
                <w:lang w:eastAsia="lv-LV"/>
              </w:rPr>
              <w:t xml:space="preserve">atalgojuma politikai un tās piemērošanai, lai nodrošinātu, ka </w:t>
            </w:r>
            <w:r w:rsidR="00BC0CBB">
              <w:rPr>
                <w:rFonts w:ascii="Times New Roman" w:eastAsia="Times New Roman" w:hAnsi="Times New Roman" w:cs="Times New Roman"/>
                <w:iCs/>
                <w:sz w:val="24"/>
                <w:szCs w:val="24"/>
                <w:lang w:eastAsia="lv-LV"/>
              </w:rPr>
              <w:t>atalgojuma politika un prakse amatpersonām un darbiniekiem, tostarp tiem, kuru profesionālā darbība būtiski ietekmē iestādes riska profilu, atbilst piesardzīgai un efektīvai risku pārvaldīšanai, un veicinātu to, vienlaikus ierobežojot risku uzņemšanos virs noteiktā pieļaujamā risku uzņemšanās līmeņa.</w:t>
            </w:r>
          </w:p>
        </w:tc>
      </w:tr>
      <w:tr w:rsidR="006C3828" w:rsidRPr="00894D21" w14:paraId="1C6D72DB" w14:textId="77777777" w:rsidTr="00EB2E5D">
        <w:trPr>
          <w:trHeight w:val="567"/>
        </w:trPr>
        <w:tc>
          <w:tcPr>
            <w:tcW w:w="1573" w:type="pct"/>
            <w:shd w:val="clear" w:color="auto" w:fill="auto"/>
            <w:hideMark/>
          </w:tcPr>
          <w:p w14:paraId="1B9C7D2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Samērīgums</w:t>
            </w:r>
          </w:p>
          <w:p w14:paraId="5D7A323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7C9C2B96" w14:textId="2FDC9E02" w:rsidR="00482DA3" w:rsidRPr="00214E91" w:rsidRDefault="00482DA3" w:rsidP="00094F5F">
            <w:pPr>
              <w:spacing w:after="120" w:line="240" w:lineRule="auto"/>
              <w:jc w:val="both"/>
              <w:rPr>
                <w:rFonts w:ascii="Times New Roman" w:eastAsia="Times New Roman" w:hAnsi="Times New Roman" w:cs="Times New Roman"/>
                <w:sz w:val="24"/>
                <w:szCs w:val="24"/>
                <w:lang w:eastAsia="lv-LV"/>
              </w:rPr>
            </w:pPr>
            <w:r w:rsidRPr="00214E91">
              <w:rPr>
                <w:rFonts w:ascii="Times New Roman" w:eastAsia="Times New Roman" w:hAnsi="Times New Roman" w:cs="Times New Roman"/>
                <w:sz w:val="24"/>
                <w:szCs w:val="24"/>
                <w:lang w:eastAsia="lv-LV"/>
              </w:rPr>
              <w:t xml:space="preserve">Nosakot </w:t>
            </w:r>
            <w:r w:rsidR="006C57E6">
              <w:rPr>
                <w:rFonts w:ascii="Times New Roman" w:eastAsia="Times New Roman" w:hAnsi="Times New Roman" w:cs="Times New Roman"/>
                <w:sz w:val="24"/>
                <w:szCs w:val="24"/>
                <w:lang w:eastAsia="lv-LV"/>
              </w:rPr>
              <w:t>iestādēm</w:t>
            </w:r>
            <w:r w:rsidRPr="00214E91">
              <w:rPr>
                <w:rFonts w:ascii="Times New Roman" w:eastAsia="Times New Roman" w:hAnsi="Times New Roman" w:cs="Times New Roman"/>
                <w:sz w:val="24"/>
                <w:szCs w:val="24"/>
                <w:lang w:eastAsia="lv-LV"/>
              </w:rPr>
              <w:t xml:space="preserve"> prasības </w:t>
            </w:r>
            <w:r w:rsidR="00022061">
              <w:rPr>
                <w:rFonts w:ascii="Times New Roman" w:eastAsia="Times New Roman" w:hAnsi="Times New Roman" w:cs="Times New Roman"/>
                <w:iCs/>
                <w:sz w:val="24"/>
                <w:szCs w:val="24"/>
              </w:rPr>
              <w:t>atalgojuma sistēmas izveidei un atalgojuma politikai un praksei, tostarp tām amatpersonām vai darbiniekiem, kuru profesionālā darbība būtiski ietekmē iestādes riska profilu,</w:t>
            </w:r>
            <w:r w:rsidRPr="00214E91">
              <w:rPr>
                <w:rFonts w:ascii="Times New Roman" w:eastAsia="Times New Roman" w:hAnsi="Times New Roman" w:cs="Times New Roman"/>
                <w:sz w:val="24"/>
                <w:szCs w:val="24"/>
                <w:lang w:eastAsia="lv-LV"/>
              </w:rPr>
              <w:t xml:space="preserve"> tiek nodrošināta vienota </w:t>
            </w:r>
            <w:r w:rsidR="006C57E6">
              <w:rPr>
                <w:rFonts w:ascii="Times New Roman" w:eastAsia="Times New Roman" w:hAnsi="Times New Roman" w:cs="Times New Roman"/>
                <w:sz w:val="24"/>
                <w:szCs w:val="24"/>
                <w:lang w:eastAsia="lv-LV"/>
              </w:rPr>
              <w:t xml:space="preserve">iestāžu </w:t>
            </w:r>
            <w:r w:rsidRPr="00214E91">
              <w:rPr>
                <w:rFonts w:ascii="Times New Roman" w:eastAsia="Times New Roman" w:hAnsi="Times New Roman" w:cs="Times New Roman"/>
                <w:sz w:val="24"/>
                <w:szCs w:val="24"/>
                <w:lang w:eastAsia="lv-LV"/>
              </w:rPr>
              <w:t>izpratne un pieeja regulējošo prasību interpretācij</w:t>
            </w:r>
            <w:r w:rsidR="00550114">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 xml:space="preserve"> un piemērošan</w:t>
            </w:r>
            <w:r w:rsidR="00550114">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w:t>
            </w:r>
          </w:p>
          <w:p w14:paraId="7D801ECE" w14:textId="0DCE8C09" w:rsidR="00450D45" w:rsidRDefault="00550114" w:rsidP="00094F5F">
            <w:pPr>
              <w:keepLines/>
              <w:tabs>
                <w:tab w:val="left" w:pos="5114"/>
              </w:tabs>
              <w:spacing w:after="120" w:line="240" w:lineRule="auto"/>
              <w:jc w:val="both"/>
              <w:outlineLvl w:val="1"/>
              <w:rPr>
                <w:rFonts w:ascii="Times New Roman" w:hAnsi="Times New Roman" w:cs="Times New Roman"/>
                <w:bCs/>
                <w:sz w:val="24"/>
                <w:szCs w:val="24"/>
              </w:rPr>
            </w:pPr>
            <w:r>
              <w:rPr>
                <w:rFonts w:ascii="Times New Roman" w:eastAsia="Times New Roman" w:hAnsi="Times New Roman" w:cs="Times New Roman"/>
                <w:iCs/>
                <w:sz w:val="24"/>
                <w:szCs w:val="24"/>
              </w:rPr>
              <w:t>Ar n</w:t>
            </w:r>
            <w:r w:rsidR="00450D45">
              <w:rPr>
                <w:rFonts w:ascii="Times New Roman" w:eastAsia="Times New Roman" w:hAnsi="Times New Roman" w:cs="Times New Roman"/>
                <w:iCs/>
                <w:sz w:val="24"/>
                <w:szCs w:val="24"/>
              </w:rPr>
              <w:t>oteikum</w:t>
            </w:r>
            <w:r>
              <w:rPr>
                <w:rFonts w:ascii="Times New Roman" w:eastAsia="Times New Roman" w:hAnsi="Times New Roman" w:cs="Times New Roman"/>
                <w:iCs/>
                <w:sz w:val="24"/>
                <w:szCs w:val="24"/>
              </w:rPr>
              <w:t>u projektu</w:t>
            </w:r>
            <w:r w:rsidR="00450D45">
              <w:rPr>
                <w:rFonts w:ascii="Times New Roman" w:eastAsia="Times New Roman" w:hAnsi="Times New Roman" w:cs="Times New Roman"/>
                <w:iCs/>
                <w:sz w:val="24"/>
                <w:szCs w:val="24"/>
              </w:rPr>
              <w:t xml:space="preserve"> tiek ieviestas tiesību normas attiecībā uz atalgojuma politiku un praksi, kas izriet no </w:t>
            </w:r>
            <w:r w:rsidR="00F00AA2" w:rsidRPr="00EB1AF1">
              <w:rPr>
                <w:rFonts w:ascii="Times New Roman" w:hAnsi="Times New Roman" w:cs="Times New Roman"/>
                <w:bCs/>
                <w:sz w:val="24"/>
                <w:szCs w:val="24"/>
              </w:rPr>
              <w:t xml:space="preserve">Eiropas Parlamenta un Padomes </w:t>
            </w:r>
            <w:r w:rsidR="00F00AA2" w:rsidRPr="005F7A8B">
              <w:rPr>
                <w:rFonts w:ascii="Times New Roman" w:hAnsi="Times New Roman" w:cs="Times New Roman"/>
                <w:bCs/>
                <w:sz w:val="24"/>
                <w:szCs w:val="24"/>
              </w:rPr>
              <w:t>2019.</w:t>
            </w:r>
            <w:r w:rsidR="00BA2695">
              <w:rPr>
                <w:rFonts w:ascii="Times New Roman" w:hAnsi="Times New Roman" w:cs="Times New Roman"/>
                <w:bCs/>
                <w:sz w:val="24"/>
                <w:szCs w:val="24"/>
              </w:rPr>
              <w:t> </w:t>
            </w:r>
            <w:r w:rsidR="00F00AA2" w:rsidRPr="005F7A8B">
              <w:rPr>
                <w:rFonts w:ascii="Times New Roman" w:hAnsi="Times New Roman" w:cs="Times New Roman"/>
                <w:bCs/>
                <w:sz w:val="24"/>
                <w:szCs w:val="24"/>
              </w:rPr>
              <w:t>gada 27. novembra</w:t>
            </w:r>
            <w:r w:rsidR="00F00AA2">
              <w:rPr>
                <w:rFonts w:ascii="Times New Roman" w:hAnsi="Times New Roman" w:cs="Times New Roman"/>
                <w:bCs/>
                <w:sz w:val="24"/>
                <w:szCs w:val="24"/>
              </w:rPr>
              <w:t xml:space="preserve"> </w:t>
            </w:r>
            <w:r w:rsidR="00BA2695">
              <w:rPr>
                <w:rFonts w:ascii="Times New Roman" w:hAnsi="Times New Roman" w:cs="Times New Roman"/>
                <w:bCs/>
                <w:sz w:val="24"/>
                <w:szCs w:val="24"/>
              </w:rPr>
              <w:t>d</w:t>
            </w:r>
            <w:r w:rsidR="00F00AA2">
              <w:rPr>
                <w:rFonts w:ascii="Times New Roman" w:hAnsi="Times New Roman" w:cs="Times New Roman"/>
                <w:bCs/>
                <w:sz w:val="24"/>
                <w:szCs w:val="24"/>
              </w:rPr>
              <w:t>irektīvas</w:t>
            </w:r>
            <w:r w:rsidR="00F00AA2">
              <w:rPr>
                <w:rFonts w:ascii="Roboto" w:hAnsi="Roboto"/>
                <w:b/>
                <w:bCs/>
                <w:color w:val="333333"/>
                <w:sz w:val="21"/>
                <w:szCs w:val="21"/>
                <w:shd w:val="clear" w:color="auto" w:fill="FFFFFF"/>
              </w:rPr>
              <w:t xml:space="preserve"> </w:t>
            </w:r>
            <w:r w:rsidR="00F00AA2" w:rsidRPr="005F7A8B">
              <w:rPr>
                <w:rFonts w:ascii="Times New Roman" w:hAnsi="Times New Roman" w:cs="Times New Roman"/>
                <w:bCs/>
                <w:sz w:val="24"/>
                <w:szCs w:val="24"/>
              </w:rPr>
              <w:t>(ES)</w:t>
            </w:r>
            <w:r w:rsidR="00BA2695">
              <w:rPr>
                <w:rFonts w:ascii="Times New Roman" w:hAnsi="Times New Roman" w:cs="Times New Roman"/>
                <w:bCs/>
                <w:sz w:val="24"/>
                <w:szCs w:val="24"/>
              </w:rPr>
              <w:t> </w:t>
            </w:r>
            <w:r w:rsidR="00F00AA2" w:rsidRPr="005F7A8B">
              <w:rPr>
                <w:rFonts w:ascii="Times New Roman" w:hAnsi="Times New Roman" w:cs="Times New Roman"/>
                <w:bCs/>
                <w:sz w:val="24"/>
                <w:szCs w:val="24"/>
              </w:rPr>
              <w:t xml:space="preserve">2019/2034 par ieguldījumu brokeru sabiedrību prudenciālo uzraudzību un ar ko groza </w:t>
            </w:r>
            <w:r w:rsidR="00BA2695">
              <w:rPr>
                <w:rFonts w:ascii="Times New Roman" w:hAnsi="Times New Roman" w:cs="Times New Roman"/>
                <w:bCs/>
                <w:sz w:val="24"/>
                <w:szCs w:val="24"/>
              </w:rPr>
              <w:t>d</w:t>
            </w:r>
            <w:r w:rsidR="00F00AA2" w:rsidRPr="005F7A8B">
              <w:rPr>
                <w:rFonts w:ascii="Times New Roman" w:hAnsi="Times New Roman" w:cs="Times New Roman"/>
                <w:bCs/>
                <w:sz w:val="24"/>
                <w:szCs w:val="24"/>
              </w:rPr>
              <w:t>irektīvas 2002/87/EK, 2009/65/EK, 2011/61/ES, 2013/36/ES, 2014/59/ES un 2014/65/ES</w:t>
            </w:r>
            <w:r w:rsidR="00F00AA2">
              <w:rPr>
                <w:rFonts w:ascii="Times New Roman" w:hAnsi="Times New Roman" w:cs="Times New Roman"/>
                <w:bCs/>
                <w:sz w:val="24"/>
                <w:szCs w:val="24"/>
              </w:rPr>
              <w:t xml:space="preserve"> (turpmāk</w:t>
            </w:r>
            <w:r w:rsidR="00BA2695">
              <w:rPr>
                <w:rFonts w:ascii="Times New Roman" w:hAnsi="Times New Roman" w:cs="Times New Roman"/>
                <w:bCs/>
                <w:sz w:val="24"/>
                <w:szCs w:val="24"/>
              </w:rPr>
              <w:t> –</w:t>
            </w:r>
            <w:r w:rsidR="00F23C19">
              <w:rPr>
                <w:rFonts w:ascii="Times New Roman" w:hAnsi="Times New Roman" w:cs="Times New Roman"/>
                <w:bCs/>
                <w:sz w:val="24"/>
                <w:szCs w:val="24"/>
              </w:rPr>
              <w:t xml:space="preserve"> </w:t>
            </w:r>
            <w:r w:rsidR="00F00AA2">
              <w:rPr>
                <w:rFonts w:ascii="Times New Roman" w:hAnsi="Times New Roman" w:cs="Times New Roman"/>
                <w:bCs/>
                <w:sz w:val="24"/>
                <w:szCs w:val="24"/>
              </w:rPr>
              <w:t>Direktīva Nr.</w:t>
            </w:r>
            <w:r w:rsidR="00BA2695">
              <w:rPr>
                <w:rFonts w:ascii="Times New Roman" w:hAnsi="Times New Roman" w:cs="Times New Roman"/>
                <w:bCs/>
                <w:sz w:val="24"/>
                <w:szCs w:val="24"/>
              </w:rPr>
              <w:t> </w:t>
            </w:r>
            <w:r w:rsidR="00F00AA2">
              <w:rPr>
                <w:rFonts w:ascii="Times New Roman" w:hAnsi="Times New Roman" w:cs="Times New Roman"/>
                <w:bCs/>
                <w:sz w:val="24"/>
                <w:szCs w:val="24"/>
              </w:rPr>
              <w:t>2019/2034)</w:t>
            </w:r>
            <w:r w:rsidR="00450D45">
              <w:rPr>
                <w:rFonts w:ascii="Times New Roman" w:eastAsia="Times New Roman" w:hAnsi="Times New Roman" w:cs="Times New Roman"/>
                <w:iCs/>
                <w:sz w:val="24"/>
                <w:szCs w:val="24"/>
              </w:rPr>
              <w:t>.</w:t>
            </w:r>
            <w:r w:rsidR="00175EE7">
              <w:rPr>
                <w:rFonts w:ascii="Times New Roman" w:eastAsia="Times New Roman" w:hAnsi="Times New Roman" w:cs="Times New Roman"/>
                <w:iCs/>
                <w:sz w:val="24"/>
                <w:szCs w:val="24"/>
              </w:rPr>
              <w:t xml:space="preserve"> </w:t>
            </w:r>
            <w:r w:rsidR="00175EE7">
              <w:rPr>
                <w:rFonts w:ascii="Times New Roman" w:hAnsi="Times New Roman" w:cs="Times New Roman"/>
                <w:bCs/>
                <w:sz w:val="24"/>
                <w:szCs w:val="24"/>
              </w:rPr>
              <w:t>Direktīvas Nr. 2019/2034 prasību pārņemšanas tabula ietverta anotācijas pielikumā.</w:t>
            </w:r>
          </w:p>
          <w:p w14:paraId="7A8FA13D" w14:textId="63990EC7" w:rsidR="00175EE7" w:rsidRPr="00685AE6" w:rsidRDefault="00175EE7" w:rsidP="00094F5F">
            <w:pPr>
              <w:keepLines/>
              <w:tabs>
                <w:tab w:val="left" w:pos="5114"/>
              </w:tabs>
              <w:spacing w:after="120" w:line="240" w:lineRule="auto"/>
              <w:jc w:val="both"/>
              <w:outlineLvl w:val="1"/>
              <w:rPr>
                <w:rFonts w:ascii="Times New Roman" w:hAnsi="Times New Roman" w:cs="Times New Roman"/>
                <w:bCs/>
                <w:sz w:val="24"/>
                <w:szCs w:val="24"/>
              </w:rPr>
            </w:pPr>
            <w:r>
              <w:rPr>
                <w:rFonts w:ascii="Times New Roman" w:hAnsi="Times New Roman" w:cs="Times New Roman"/>
                <w:bCs/>
                <w:sz w:val="24"/>
                <w:szCs w:val="24"/>
              </w:rPr>
              <w:t>Vienlaikus noteikumu projekts nodrošina vairāku Eiropas Banku iestādes un Eiropas Vērtspapīru un tirgu iestādes pamatnostādņu</w:t>
            </w:r>
            <w:r w:rsidR="00094F5F">
              <w:rPr>
                <w:rStyle w:val="FootnoteReference"/>
                <w:rFonts w:ascii="Times New Roman" w:hAnsi="Times New Roman" w:cs="Times New Roman"/>
                <w:bCs/>
                <w:sz w:val="24"/>
                <w:szCs w:val="24"/>
              </w:rPr>
              <w:footnoteReference w:customMarkFollows="1" w:id="2"/>
              <w:t>*</w:t>
            </w:r>
            <w:r>
              <w:rPr>
                <w:rFonts w:ascii="Times New Roman" w:hAnsi="Times New Roman" w:cs="Times New Roman"/>
                <w:bCs/>
                <w:sz w:val="24"/>
                <w:szCs w:val="24"/>
              </w:rPr>
              <w:t xml:space="preserve"> prasību izpildi.</w:t>
            </w:r>
          </w:p>
          <w:p w14:paraId="1A66758D" w14:textId="4F5E87D0" w:rsidR="006C3828" w:rsidRPr="00894D21" w:rsidRDefault="006C3828" w:rsidP="00550114">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Līdz ar to atbilstošākais veids, kā </w:t>
            </w:r>
            <w:r w:rsidR="00594A00">
              <w:rPr>
                <w:rFonts w:ascii="Times New Roman" w:eastAsia="Times New Roman" w:hAnsi="Times New Roman" w:cs="Times New Roman"/>
                <w:sz w:val="24"/>
                <w:szCs w:val="24"/>
                <w:lang w:eastAsia="lv-LV"/>
              </w:rPr>
              <w:t xml:space="preserve">nodrošināt </w:t>
            </w:r>
            <w:r w:rsidR="00594A00">
              <w:rPr>
                <w:rFonts w:ascii="Times New Roman" w:hAnsi="Times New Roman" w:cs="Times New Roman"/>
                <w:bCs/>
                <w:sz w:val="24"/>
                <w:szCs w:val="24"/>
              </w:rPr>
              <w:t>Direktīvas Nr. 2019/2034, Eiropas Banku iestādes un Eiropas Vērtspapīru un tirgu iestādes pamatnostādņu</w:t>
            </w:r>
            <w:r w:rsidR="00594A00" w:rsidRPr="00894D21">
              <w:rPr>
                <w:rFonts w:ascii="Times New Roman" w:eastAsia="Times New Roman" w:hAnsi="Times New Roman" w:cs="Times New Roman"/>
                <w:sz w:val="24"/>
                <w:szCs w:val="24"/>
                <w:lang w:eastAsia="lv-LV"/>
              </w:rPr>
              <w:t xml:space="preserve"> </w:t>
            </w:r>
            <w:r w:rsidR="00594A00">
              <w:rPr>
                <w:rFonts w:ascii="Times New Roman" w:eastAsia="Times New Roman" w:hAnsi="Times New Roman" w:cs="Times New Roman"/>
                <w:sz w:val="24"/>
                <w:szCs w:val="24"/>
                <w:lang w:eastAsia="lv-LV"/>
              </w:rPr>
              <w:t xml:space="preserve">prasību izpildi, </w:t>
            </w:r>
            <w:r w:rsidRPr="00894D21">
              <w:rPr>
                <w:rFonts w:ascii="Times New Roman" w:eastAsia="Times New Roman" w:hAnsi="Times New Roman" w:cs="Times New Roman"/>
                <w:sz w:val="24"/>
                <w:szCs w:val="24"/>
                <w:lang w:eastAsia="lv-LV"/>
              </w:rPr>
              <w:t xml:space="preserve">ir izdot </w:t>
            </w:r>
            <w:r w:rsidR="00594A00">
              <w:rPr>
                <w:rFonts w:ascii="Times New Roman" w:eastAsia="Times New Roman" w:hAnsi="Times New Roman" w:cs="Times New Roman"/>
                <w:sz w:val="24"/>
                <w:szCs w:val="24"/>
                <w:lang w:eastAsia="lv-LV"/>
              </w:rPr>
              <w:t xml:space="preserve">iestādēm </w:t>
            </w:r>
            <w:r w:rsidRPr="00894D21">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67B8717F" w14:textId="6FE92519" w:rsidR="006C3828" w:rsidRPr="00894D21" w:rsidRDefault="006C3828" w:rsidP="00550114">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594A00">
              <w:rPr>
                <w:rFonts w:ascii="Times New Roman" w:eastAsia="Times New Roman" w:hAnsi="Times New Roman" w:cs="Times New Roman"/>
                <w:sz w:val="24"/>
                <w:szCs w:val="24"/>
                <w:lang w:eastAsia="lv-LV"/>
              </w:rPr>
              <w:t>iestādei</w:t>
            </w:r>
            <w:r w:rsidRPr="00894D21">
              <w:rPr>
                <w:rFonts w:ascii="Times New Roman" w:eastAsia="Times New Roman" w:hAnsi="Times New Roman" w:cs="Times New Roman"/>
                <w:sz w:val="24"/>
                <w:szCs w:val="24"/>
                <w:lang w:eastAsia="lv-LV"/>
              </w:rPr>
              <w:t xml:space="preserve"> juridiski saistoši. Vienlaikus ar noteikumu projektu tiek noteiktas prasības, kuras Latvijas Banka uzraudzības ietvaros var kontrolēt un nepieciešamības gadījumā par konkrētu prasību pārkāpumu piemērot </w:t>
            </w:r>
            <w:r w:rsidR="00594A00">
              <w:rPr>
                <w:rFonts w:ascii="Times New Roman" w:eastAsia="Times New Roman" w:hAnsi="Times New Roman" w:cs="Times New Roman"/>
                <w:sz w:val="24"/>
                <w:szCs w:val="24"/>
                <w:lang w:eastAsia="lv-LV"/>
              </w:rPr>
              <w:t>iestādei</w:t>
            </w:r>
            <w:r w:rsidRPr="00894D21">
              <w:rPr>
                <w:rFonts w:ascii="Times New Roman" w:eastAsia="Times New Roman" w:hAnsi="Times New Roman" w:cs="Times New Roman"/>
                <w:sz w:val="24"/>
                <w:szCs w:val="24"/>
                <w:lang w:eastAsia="lv-LV"/>
              </w:rPr>
              <w:t xml:space="preserve"> korektīvos pasākumus vai sankcijas.</w:t>
            </w:r>
          </w:p>
          <w:p w14:paraId="137BE9AC" w14:textId="12275AA1" w:rsidR="00BC0CBB" w:rsidRDefault="006C3828" w:rsidP="00550114">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Respektīvi, </w:t>
            </w:r>
            <w:r w:rsidR="004F52AE">
              <w:rPr>
                <w:rFonts w:ascii="Times New Roman" w:eastAsia="Times New Roman" w:hAnsi="Times New Roman" w:cs="Times New Roman"/>
                <w:sz w:val="24"/>
                <w:szCs w:val="24"/>
                <w:lang w:eastAsia="lv-LV"/>
              </w:rPr>
              <w:t>noteikumu projekts</w:t>
            </w:r>
            <w:r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un, otrkārt,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w:t>
            </w:r>
            <w:r w:rsidR="004F5DA7">
              <w:rPr>
                <w:rFonts w:ascii="Times New Roman" w:eastAsia="Times New Roman" w:hAnsi="Times New Roman" w:cs="Times New Roman"/>
                <w:sz w:val="24"/>
                <w:szCs w:val="24"/>
                <w:lang w:eastAsia="lv-LV"/>
              </w:rPr>
              <w:t xml:space="preserve">i iestādei </w:t>
            </w:r>
            <w:r w:rsidR="671264DD" w:rsidRPr="00894D21">
              <w:rPr>
                <w:rFonts w:ascii="Times New Roman" w:eastAsia="Times New Roman" w:hAnsi="Times New Roman" w:cs="Times New Roman"/>
                <w:sz w:val="24"/>
                <w:szCs w:val="24"/>
                <w:lang w:eastAsia="lv-LV"/>
              </w:rPr>
              <w:t>varētu rasties ar uzliktajiem pienākumiem, un tos atsver sagaidāmie ilgtermiņa ieguvumi stabilāka finanšu sektora veidā.</w:t>
            </w:r>
          </w:p>
          <w:p w14:paraId="29E6F5B9" w14:textId="68C544F0" w:rsidR="00716CA2" w:rsidRPr="00894D21" w:rsidRDefault="00716CA2" w:rsidP="00550114">
            <w:pPr>
              <w:spacing w:after="120" w:line="240" w:lineRule="auto"/>
              <w:jc w:val="both"/>
              <w:rPr>
                <w:rFonts w:ascii="Times New Roman" w:eastAsia="Times New Roman" w:hAnsi="Times New Roman" w:cs="Times New Roman"/>
                <w:sz w:val="24"/>
                <w:szCs w:val="24"/>
                <w:lang w:eastAsia="lv-LV"/>
              </w:rPr>
            </w:pPr>
            <w:r w:rsidRPr="000C3784">
              <w:rPr>
                <w:rFonts w:ascii="Times New Roman" w:eastAsia="Times New Roman" w:hAnsi="Times New Roman" w:cs="Times New Roman"/>
                <w:sz w:val="24"/>
                <w:szCs w:val="24"/>
                <w:lang w:eastAsia="lv-LV"/>
              </w:rPr>
              <w:t xml:space="preserve">Noteikumu projekta </w:t>
            </w:r>
            <w:r w:rsidR="001964C0">
              <w:rPr>
                <w:rFonts w:ascii="Times New Roman" w:eastAsia="Times New Roman" w:hAnsi="Times New Roman" w:cs="Times New Roman"/>
                <w:sz w:val="24"/>
                <w:szCs w:val="24"/>
                <w:lang w:eastAsia="lv-LV"/>
              </w:rPr>
              <w:t>10</w:t>
            </w:r>
            <w:r w:rsidRPr="000C3784">
              <w:rPr>
                <w:rFonts w:ascii="Times New Roman" w:eastAsia="Times New Roman" w:hAnsi="Times New Roman" w:cs="Times New Roman"/>
                <w:sz w:val="24"/>
                <w:szCs w:val="24"/>
                <w:lang w:eastAsia="lv-LV"/>
              </w:rPr>
              <w:t>.</w:t>
            </w:r>
            <w:r w:rsidR="00BA2695" w:rsidRPr="000C3784">
              <w:rPr>
                <w:rFonts w:ascii="Times New Roman" w:eastAsia="Times New Roman" w:hAnsi="Times New Roman" w:cs="Times New Roman"/>
                <w:sz w:val="24"/>
                <w:szCs w:val="24"/>
                <w:lang w:eastAsia="lv-LV"/>
              </w:rPr>
              <w:t> </w:t>
            </w:r>
            <w:r w:rsidRPr="000C3784">
              <w:rPr>
                <w:rFonts w:ascii="Times New Roman" w:eastAsia="Times New Roman" w:hAnsi="Times New Roman" w:cs="Times New Roman"/>
                <w:sz w:val="24"/>
                <w:szCs w:val="24"/>
                <w:lang w:eastAsia="lv-LV"/>
              </w:rPr>
              <w:t>punktā minētais ierobežojums</w:t>
            </w:r>
            <w:r w:rsidR="00660A1C" w:rsidRPr="000C3784">
              <w:rPr>
                <w:rFonts w:ascii="Times New Roman" w:eastAsia="Times New Roman" w:hAnsi="Times New Roman" w:cs="Times New Roman"/>
                <w:sz w:val="24"/>
                <w:szCs w:val="24"/>
                <w:lang w:eastAsia="lv-LV"/>
              </w:rPr>
              <w:t xml:space="preserve"> </w:t>
            </w:r>
            <w:r w:rsidR="004F5DA7" w:rsidRPr="000C3784">
              <w:rPr>
                <w:rFonts w:ascii="Times New Roman" w:eastAsia="Times New Roman" w:hAnsi="Times New Roman" w:cs="Times New Roman"/>
                <w:sz w:val="24"/>
                <w:szCs w:val="24"/>
                <w:lang w:eastAsia="lv-LV"/>
              </w:rPr>
              <w:t xml:space="preserve">iestādes </w:t>
            </w:r>
            <w:r w:rsidRPr="000C3784">
              <w:rPr>
                <w:rFonts w:ascii="Times New Roman" w:eastAsia="Times New Roman" w:hAnsi="Times New Roman" w:cs="Times New Roman"/>
                <w:sz w:val="24"/>
                <w:szCs w:val="24"/>
                <w:lang w:eastAsia="lv-LV"/>
              </w:rPr>
              <w:t>padomes locekļiem saņemt atalgojuma mainīgo daļu</w:t>
            </w:r>
            <w:r w:rsidR="00BA2695" w:rsidRPr="000C3784">
              <w:rPr>
                <w:rFonts w:ascii="Times New Roman" w:eastAsia="Times New Roman" w:hAnsi="Times New Roman" w:cs="Times New Roman"/>
                <w:sz w:val="24"/>
                <w:szCs w:val="24"/>
                <w:lang w:eastAsia="lv-LV"/>
              </w:rPr>
              <w:t> </w:t>
            </w:r>
            <w:r w:rsidRPr="000C3784">
              <w:rPr>
                <w:rFonts w:ascii="Times New Roman" w:eastAsia="Times New Roman" w:hAnsi="Times New Roman" w:cs="Times New Roman"/>
                <w:sz w:val="24"/>
                <w:szCs w:val="24"/>
                <w:lang w:eastAsia="lv-LV"/>
              </w:rPr>
              <w:t xml:space="preserve">izriet no </w:t>
            </w:r>
            <w:r w:rsidR="00E04087" w:rsidRPr="000C3784">
              <w:rPr>
                <w:rFonts w:ascii="Times New Roman" w:hAnsi="Times New Roman" w:cs="Times New Roman"/>
                <w:sz w:val="24"/>
                <w:szCs w:val="24"/>
              </w:rPr>
              <w:t>Eiropas Banku iestādes 2021. gada 22. novembra pamatnostādņu EBA/GL/2021/13 "Pamatnostādnes par pareizu atalgojuma politiku saskaņā ar Direktīvu (ES) 2019/2034"</w:t>
            </w:r>
            <w:r w:rsidRPr="000C3784">
              <w:rPr>
                <w:rFonts w:ascii="Times New Roman" w:eastAsia="Times New Roman" w:hAnsi="Times New Roman" w:cs="Times New Roman"/>
                <w:sz w:val="24"/>
                <w:szCs w:val="24"/>
                <w:lang w:eastAsia="lv-LV"/>
              </w:rPr>
              <w:t xml:space="preserve"> </w:t>
            </w:r>
            <w:r w:rsidR="000C3784">
              <w:rPr>
                <w:rFonts w:ascii="Times New Roman" w:eastAsia="Times New Roman" w:hAnsi="Times New Roman" w:cs="Times New Roman"/>
                <w:sz w:val="24"/>
                <w:szCs w:val="24"/>
                <w:lang w:eastAsia="lv-LV"/>
              </w:rPr>
              <w:t>185. </w:t>
            </w:r>
            <w:r w:rsidR="00CC0A3B" w:rsidRPr="000C3784">
              <w:rPr>
                <w:rFonts w:ascii="Times New Roman" w:eastAsia="Times New Roman" w:hAnsi="Times New Roman" w:cs="Times New Roman"/>
                <w:sz w:val="24"/>
                <w:szCs w:val="24"/>
                <w:lang w:eastAsia="lv-LV"/>
              </w:rPr>
              <w:t xml:space="preserve">punkta </w:t>
            </w:r>
            <w:r w:rsidR="000C3784">
              <w:rPr>
                <w:rFonts w:ascii="Times New Roman" w:eastAsia="Times New Roman" w:hAnsi="Times New Roman" w:cs="Times New Roman"/>
                <w:sz w:val="24"/>
                <w:szCs w:val="24"/>
                <w:lang w:eastAsia="lv-LV"/>
              </w:rPr>
              <w:t xml:space="preserve">prasībām </w:t>
            </w:r>
            <w:r w:rsidRPr="000C3784">
              <w:rPr>
                <w:rFonts w:ascii="Times New Roman" w:eastAsia="Times New Roman" w:hAnsi="Times New Roman" w:cs="Times New Roman"/>
                <w:sz w:val="24"/>
                <w:szCs w:val="24"/>
                <w:lang w:eastAsia="lv-LV"/>
              </w:rPr>
              <w:t>un ir nepieciešams, lai mazinātu padomes locekļu interešu konfliktu</w:t>
            </w:r>
            <w:r w:rsidR="00DB376E">
              <w:rPr>
                <w:rFonts w:ascii="Times New Roman" w:eastAsia="Times New Roman" w:hAnsi="Times New Roman" w:cs="Times New Roman"/>
                <w:sz w:val="24"/>
                <w:szCs w:val="24"/>
                <w:lang w:eastAsia="lv-LV"/>
              </w:rPr>
              <w:t xml:space="preserve"> iespējamību</w:t>
            </w:r>
            <w:r w:rsidRPr="000C3784">
              <w:rPr>
                <w:rFonts w:ascii="Times New Roman" w:eastAsia="Times New Roman" w:hAnsi="Times New Roman" w:cs="Times New Roman"/>
                <w:sz w:val="24"/>
                <w:szCs w:val="24"/>
                <w:lang w:eastAsia="lv-LV"/>
              </w:rPr>
              <w:t xml:space="preserve"> un nodrošinātu iestādes padomes uzraugošo lomu iestādes pārvaldībā</w:t>
            </w:r>
            <w:r w:rsidR="000C3784">
              <w:rPr>
                <w:rFonts w:ascii="Times New Roman" w:eastAsia="Times New Roman" w:hAnsi="Times New Roman" w:cs="Times New Roman"/>
                <w:sz w:val="24"/>
                <w:szCs w:val="24"/>
                <w:lang w:eastAsia="lv-LV"/>
              </w:rPr>
              <w:t xml:space="preserve">. </w:t>
            </w:r>
            <w:r w:rsidR="000C3784" w:rsidRPr="00A3144A">
              <w:rPr>
                <w:rFonts w:ascii="Times New Roman" w:eastAsia="Times New Roman" w:hAnsi="Times New Roman" w:cs="Times New Roman"/>
                <w:sz w:val="24"/>
                <w:szCs w:val="24"/>
                <w:lang w:eastAsia="lv-LV"/>
              </w:rPr>
              <w:t>Tādējādi šāds ierobežojums ir nepieciešams leģitīmā mērķa (citu personu tiesību aizsardzība un sabiedrības labklājības nodrošināšana) sasniegšanai. Minēto mērķi nav iespējams sasniegt ar citām, mazāk ierobežojošām prasībām, un labums, ko sabiedrība gūs no šādām prasībām, būs lielāks par indivīda tiesību ierobežojumiem, jo iestādes padomes locekļiem ir iespējams noteikt pienācīgu atalgojuma nemainīgo daļu</w:t>
            </w:r>
            <w:r w:rsidR="00550114">
              <w:rPr>
                <w:rFonts w:ascii="Times New Roman" w:eastAsia="Times New Roman" w:hAnsi="Times New Roman" w:cs="Times New Roman"/>
                <w:sz w:val="24"/>
                <w:szCs w:val="24"/>
                <w:lang w:eastAsia="lv-LV"/>
              </w:rPr>
              <w:t>.</w:t>
            </w:r>
          </w:p>
        </w:tc>
      </w:tr>
      <w:tr w:rsidR="006C3828" w:rsidRPr="00894D21" w14:paraId="1B86501B" w14:textId="77777777" w:rsidTr="00EB2E5D">
        <w:trPr>
          <w:trHeight w:val="952"/>
        </w:trPr>
        <w:tc>
          <w:tcPr>
            <w:tcW w:w="1573" w:type="pct"/>
            <w:shd w:val="clear" w:color="auto" w:fill="auto"/>
            <w:hideMark/>
          </w:tcPr>
          <w:p w14:paraId="2DDBFB53"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2" w:name="_Hlk129966404"/>
            <w:r w:rsidRPr="00894D21">
              <w:rPr>
                <w:rFonts w:ascii="Times New Roman" w:eastAsia="Times New Roman" w:hAnsi="Times New Roman" w:cs="Times New Roman"/>
                <w:b/>
                <w:bCs/>
                <w:sz w:val="24"/>
                <w:szCs w:val="24"/>
                <w:lang w:eastAsia="lv-LV"/>
              </w:rPr>
              <w:t>Spēkā stāšanās</w:t>
            </w:r>
          </w:p>
          <w:bookmarkEnd w:id="2"/>
          <w:p w14:paraId="6B4568B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60CFB602" w14:textId="2808B344"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202</w:t>
            </w:r>
            <w:r w:rsidR="00BB15E9">
              <w:rPr>
                <w:rFonts w:ascii="Times New Roman" w:eastAsia="Times New Roman" w:hAnsi="Times New Roman" w:cs="Times New Roman"/>
                <w:sz w:val="24"/>
                <w:szCs w:val="24"/>
                <w:lang w:eastAsia="lv-LV"/>
              </w:rPr>
              <w:t>5.</w:t>
            </w:r>
            <w:r w:rsidR="00BA2695">
              <w:rPr>
                <w:rFonts w:ascii="Times New Roman" w:eastAsia="Times New Roman" w:hAnsi="Times New Roman" w:cs="Times New Roman"/>
                <w:sz w:val="24"/>
                <w:szCs w:val="24"/>
                <w:lang w:eastAsia="lv-LV"/>
              </w:rPr>
              <w:t> </w:t>
            </w:r>
            <w:r w:rsidR="00BB15E9">
              <w:rPr>
                <w:rFonts w:ascii="Times New Roman" w:eastAsia="Times New Roman" w:hAnsi="Times New Roman" w:cs="Times New Roman"/>
                <w:sz w:val="24"/>
                <w:szCs w:val="24"/>
                <w:lang w:eastAsia="lv-LV"/>
              </w:rPr>
              <w:t>gada 1.</w:t>
            </w:r>
            <w:r w:rsidR="00BA2695">
              <w:rPr>
                <w:rFonts w:ascii="Times New Roman" w:eastAsia="Times New Roman" w:hAnsi="Times New Roman" w:cs="Times New Roman"/>
                <w:sz w:val="24"/>
                <w:szCs w:val="24"/>
                <w:lang w:eastAsia="lv-LV"/>
              </w:rPr>
              <w:t> </w:t>
            </w:r>
            <w:r w:rsidR="00BB15E9">
              <w:rPr>
                <w:rFonts w:ascii="Times New Roman" w:eastAsia="Times New Roman" w:hAnsi="Times New Roman" w:cs="Times New Roman"/>
                <w:sz w:val="24"/>
                <w:szCs w:val="24"/>
                <w:lang w:eastAsia="lv-LV"/>
              </w:rPr>
              <w:t>janvār</w:t>
            </w:r>
            <w:r w:rsidR="00E763B2">
              <w:rPr>
                <w:rFonts w:ascii="Times New Roman" w:eastAsia="Times New Roman" w:hAnsi="Times New Roman" w:cs="Times New Roman"/>
                <w:sz w:val="24"/>
                <w:szCs w:val="24"/>
                <w:lang w:eastAsia="lv-LV"/>
              </w:rPr>
              <w:t>is</w:t>
            </w:r>
            <w:r w:rsidR="00907EE5">
              <w:rPr>
                <w:rFonts w:ascii="Times New Roman" w:eastAsia="Times New Roman" w:hAnsi="Times New Roman" w:cs="Times New Roman"/>
                <w:sz w:val="24"/>
                <w:szCs w:val="24"/>
                <w:lang w:eastAsia="lv-LV"/>
              </w:rPr>
              <w:t>. Noteikumu projektam jāstājas spēkā</w:t>
            </w:r>
            <w:r w:rsidR="00716CA2">
              <w:rPr>
                <w:rFonts w:ascii="Times New Roman" w:eastAsia="Times New Roman" w:hAnsi="Times New Roman" w:cs="Times New Roman"/>
                <w:sz w:val="24"/>
                <w:szCs w:val="24"/>
                <w:lang w:eastAsia="lv-LV"/>
              </w:rPr>
              <w:t xml:space="preserve"> vienlaikus ar Latvijas Bankas noteikumu projektu, kas nosaka prasības ieguldījumu brokeru sabiedrību pārvaldības sistēmai.</w:t>
            </w:r>
          </w:p>
        </w:tc>
      </w:tr>
      <w:tr w:rsidR="006C3828" w:rsidRPr="00894D21" w14:paraId="0DEA2EE8" w14:textId="77777777" w:rsidTr="00EB2E5D">
        <w:trPr>
          <w:trHeight w:val="567"/>
        </w:trPr>
        <w:tc>
          <w:tcPr>
            <w:tcW w:w="1573" w:type="pct"/>
            <w:shd w:val="clear" w:color="auto" w:fill="auto"/>
            <w:hideMark/>
          </w:tcPr>
          <w:p w14:paraId="0ABBEC6F"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10C919A9" w14:textId="1F029A48" w:rsidR="006C3828" w:rsidRPr="00894D21" w:rsidRDefault="00907EE5" w:rsidP="00D53AC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6C3828" w:rsidRPr="00894D21">
              <w:rPr>
                <w:rFonts w:ascii="Times New Roman" w:eastAsia="Times New Roman" w:hAnsi="Times New Roman" w:cs="Times New Roman"/>
                <w:sz w:val="24"/>
                <w:szCs w:val="24"/>
                <w:lang w:eastAsia="lv-LV"/>
              </w:rPr>
              <w:t xml:space="preserve"> neietekmēs Latvijas Bankas budžeta ieņēmumus un izdevumus.</w:t>
            </w:r>
          </w:p>
        </w:tc>
      </w:tr>
      <w:tr w:rsidR="006C3828" w:rsidRPr="00894D21" w14:paraId="0F12E876" w14:textId="77777777" w:rsidTr="00EB2E5D">
        <w:trPr>
          <w:trHeight w:val="567"/>
        </w:trPr>
        <w:tc>
          <w:tcPr>
            <w:tcW w:w="1573" w:type="pct"/>
            <w:shd w:val="clear" w:color="auto" w:fill="auto"/>
            <w:hideMark/>
          </w:tcPr>
          <w:p w14:paraId="6C162AD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3"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3"/>
          <w:p w14:paraId="2976223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340A9289" w14:textId="3DB8FFDE" w:rsidR="006C3828" w:rsidRPr="00894D21" w:rsidRDefault="00CD3E16" w:rsidP="00D53AC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Kopumā noteikumu projekts neparedz būtiskas izmaiņas. </w:t>
            </w:r>
            <w:r w:rsidR="006C3828" w:rsidRPr="00894D21">
              <w:rPr>
                <w:rFonts w:ascii="Times New Roman" w:eastAsia="Times New Roman" w:hAnsi="Times New Roman" w:cs="Times New Roman"/>
                <w:sz w:val="24"/>
                <w:szCs w:val="24"/>
                <w:lang w:eastAsia="lv-LV"/>
              </w:rPr>
              <w:t xml:space="preserve">Noteikumu projektā ietvertās </w:t>
            </w:r>
            <w:r>
              <w:rPr>
                <w:rFonts w:ascii="Times New Roman" w:eastAsia="Times New Roman" w:hAnsi="Times New Roman" w:cs="Times New Roman"/>
                <w:sz w:val="24"/>
                <w:szCs w:val="24"/>
                <w:lang w:eastAsia="lv-LV"/>
              </w:rPr>
              <w:t>izmaiņas</w:t>
            </w:r>
            <w:r w:rsidR="006C3828" w:rsidRPr="00894D21">
              <w:rPr>
                <w:rFonts w:ascii="Times New Roman" w:eastAsia="Times New Roman" w:hAnsi="Times New Roman" w:cs="Times New Roman"/>
                <w:sz w:val="24"/>
                <w:szCs w:val="24"/>
                <w:lang w:eastAsia="lv-LV"/>
              </w:rPr>
              <w:t xml:space="preserve">, t. sk. prasības saistībā ar pārmaiņām </w:t>
            </w:r>
            <w:r w:rsidR="00BA1636">
              <w:rPr>
                <w:rFonts w:ascii="Times New Roman" w:eastAsia="Times New Roman" w:hAnsi="Times New Roman" w:cs="Times New Roman"/>
                <w:sz w:val="24"/>
                <w:szCs w:val="24"/>
                <w:lang w:eastAsia="lv-LV"/>
              </w:rPr>
              <w:t xml:space="preserve">iestādes </w:t>
            </w:r>
            <w:r w:rsidR="006C3828" w:rsidRPr="00894D21">
              <w:rPr>
                <w:rFonts w:ascii="Times New Roman" w:eastAsia="Times New Roman" w:hAnsi="Times New Roman" w:cs="Times New Roman"/>
                <w:sz w:val="24"/>
                <w:szCs w:val="24"/>
                <w:lang w:eastAsia="lv-LV"/>
              </w:rPr>
              <w:t xml:space="preserve">iekšējos procesos, radīs papildu administratīvo slogu </w:t>
            </w:r>
            <w:r w:rsidR="00A372E9" w:rsidRPr="00894D21">
              <w:rPr>
                <w:rFonts w:ascii="Times New Roman" w:eastAsia="Times New Roman" w:hAnsi="Times New Roman" w:cs="Times New Roman"/>
                <w:sz w:val="24"/>
                <w:szCs w:val="24"/>
                <w:lang w:eastAsia="lv-LV"/>
              </w:rPr>
              <w:t xml:space="preserve">un izmaksas </w:t>
            </w:r>
            <w:r w:rsidR="00907EE5">
              <w:rPr>
                <w:rFonts w:ascii="Times New Roman" w:eastAsia="Times New Roman" w:hAnsi="Times New Roman" w:cs="Times New Roman"/>
                <w:sz w:val="24"/>
                <w:szCs w:val="24"/>
                <w:lang w:eastAsia="lv-LV"/>
              </w:rPr>
              <w:t>iestādēm</w:t>
            </w:r>
            <w:r w:rsidR="006C3828" w:rsidRPr="00894D21">
              <w:rPr>
                <w:rFonts w:ascii="Times New Roman" w:eastAsia="Times New Roman" w:hAnsi="Times New Roman" w:cs="Times New Roman"/>
                <w:sz w:val="24"/>
                <w:szCs w:val="24"/>
                <w:lang w:eastAsia="lv-LV"/>
              </w:rPr>
              <w:t>, uz kur</w:t>
            </w:r>
            <w:r w:rsidR="00907EE5">
              <w:rPr>
                <w:rFonts w:ascii="Times New Roman" w:eastAsia="Times New Roman" w:hAnsi="Times New Roman" w:cs="Times New Roman"/>
                <w:sz w:val="24"/>
                <w:szCs w:val="24"/>
                <w:lang w:eastAsia="lv-LV"/>
              </w:rPr>
              <w:t>ā</w:t>
            </w:r>
            <w:r w:rsidR="006C3828" w:rsidRPr="00894D21">
              <w:rPr>
                <w:rFonts w:ascii="Times New Roman" w:eastAsia="Times New Roman" w:hAnsi="Times New Roman" w:cs="Times New Roman"/>
                <w:sz w:val="24"/>
                <w:szCs w:val="24"/>
                <w:lang w:eastAsia="lv-LV"/>
              </w:rPr>
              <w:t>m ir attiecināmas noteikumu projekta prasības.</w:t>
            </w:r>
          </w:p>
          <w:p w14:paraId="7FDE5294" w14:textId="4964031E"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EC59EE">
              <w:rPr>
                <w:rFonts w:ascii="Times New Roman" w:eastAsia="Times New Roman" w:hAnsi="Times New Roman" w:cs="Times New Roman"/>
                <w:sz w:val="24"/>
                <w:szCs w:val="24"/>
                <w:lang w:eastAsia="lv-LV"/>
              </w:rPr>
              <w:t xml:space="preserve">Administratīvās izmaksas precīzi nav aprēķināmas, jo </w:t>
            </w:r>
            <w:r w:rsidR="00827CC2">
              <w:rPr>
                <w:rFonts w:ascii="Times New Roman" w:eastAsia="Times New Roman" w:hAnsi="Times New Roman" w:cs="Times New Roman"/>
                <w:sz w:val="24"/>
                <w:szCs w:val="24"/>
                <w:lang w:eastAsia="lv-LV"/>
              </w:rPr>
              <w:t>tās</w:t>
            </w:r>
            <w:r w:rsidRPr="00EC59EE">
              <w:rPr>
                <w:rFonts w:ascii="Times New Roman" w:eastAsia="Times New Roman" w:hAnsi="Times New Roman" w:cs="Times New Roman"/>
                <w:sz w:val="24"/>
                <w:szCs w:val="24"/>
                <w:lang w:eastAsia="lv-LV"/>
              </w:rPr>
              <w:t xml:space="preserve"> šajā gadījumā atkarīgas no vairākiem faktoriem</w:t>
            </w:r>
            <w:r w:rsidR="00907EE5">
              <w:rPr>
                <w:rFonts w:ascii="Times New Roman" w:eastAsia="Times New Roman" w:hAnsi="Times New Roman" w:cs="Times New Roman"/>
                <w:sz w:val="24"/>
                <w:szCs w:val="24"/>
                <w:lang w:eastAsia="lv-LV"/>
              </w:rPr>
              <w:t xml:space="preserve"> (</w:t>
            </w:r>
            <w:r w:rsidRPr="00EC59EE">
              <w:rPr>
                <w:rFonts w:ascii="Times New Roman" w:eastAsia="Times New Roman" w:hAnsi="Times New Roman" w:cs="Times New Roman"/>
                <w:sz w:val="24"/>
                <w:szCs w:val="24"/>
                <w:lang w:eastAsia="lv-LV"/>
              </w:rPr>
              <w:t xml:space="preserve">piemēram, no tā, vai noteikumu projektā ietverto prasību ieviešanai </w:t>
            </w:r>
            <w:r w:rsidR="00907EE5">
              <w:rPr>
                <w:rFonts w:ascii="Times New Roman" w:eastAsia="Times New Roman" w:hAnsi="Times New Roman" w:cs="Times New Roman"/>
                <w:sz w:val="24"/>
                <w:szCs w:val="24"/>
                <w:lang w:eastAsia="lv-LV"/>
              </w:rPr>
              <w:t>iestāde</w:t>
            </w:r>
            <w:r w:rsidRPr="00EC59EE">
              <w:rPr>
                <w:rFonts w:ascii="Times New Roman" w:eastAsia="Times New Roman" w:hAnsi="Times New Roman" w:cs="Times New Roman"/>
                <w:sz w:val="24"/>
                <w:szCs w:val="24"/>
                <w:lang w:eastAsia="lv-LV"/>
              </w:rPr>
              <w:t xml:space="preserve"> izmantos iekšējos vai ārējos resursus</w:t>
            </w:r>
            <w:r w:rsidR="00907EE5">
              <w:rPr>
                <w:rFonts w:ascii="Times New Roman" w:eastAsia="Times New Roman" w:hAnsi="Times New Roman" w:cs="Times New Roman"/>
                <w:sz w:val="24"/>
                <w:szCs w:val="24"/>
                <w:lang w:eastAsia="lv-LV"/>
              </w:rPr>
              <w:t>)</w:t>
            </w:r>
            <w:r w:rsidRPr="00EC59EE">
              <w:rPr>
                <w:rFonts w:ascii="Times New Roman" w:eastAsia="Times New Roman" w:hAnsi="Times New Roman" w:cs="Times New Roman"/>
                <w:sz w:val="24"/>
                <w:szCs w:val="24"/>
                <w:lang w:eastAsia="lv-LV"/>
              </w:rPr>
              <w:t>.</w:t>
            </w:r>
          </w:p>
        </w:tc>
      </w:tr>
      <w:tr w:rsidR="006C3828" w:rsidRPr="00894D21" w14:paraId="7C375F90" w14:textId="77777777" w:rsidTr="00EB2E5D">
        <w:trPr>
          <w:trHeight w:val="567"/>
        </w:trPr>
        <w:tc>
          <w:tcPr>
            <w:tcW w:w="1573" w:type="pct"/>
            <w:shd w:val="clear" w:color="auto" w:fill="auto"/>
            <w:hideMark/>
          </w:tcPr>
          <w:p w14:paraId="636CB1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7E3550BE" w14:textId="637F123F" w:rsidR="00894D21" w:rsidRPr="00D53AC5" w:rsidRDefault="00894D21" w:rsidP="00907EE5">
            <w:pPr>
              <w:spacing w:after="120" w:line="240" w:lineRule="auto"/>
              <w:jc w:val="both"/>
              <w:rPr>
                <w:rFonts w:ascii="Times New Roman" w:hAnsi="Times New Roman" w:cs="Times New Roman"/>
                <w:sz w:val="24"/>
                <w:szCs w:val="24"/>
              </w:rPr>
            </w:pPr>
            <w:r w:rsidRPr="00894D21">
              <w:rPr>
                <w:rFonts w:ascii="Times New Roman" w:hAnsi="Times New Roman" w:cs="Times New Roman"/>
                <w:sz w:val="24"/>
                <w:szCs w:val="24"/>
              </w:rPr>
              <w:t>Ar noteikumu projektu saistītie dokumenti:</w:t>
            </w:r>
          </w:p>
          <w:p w14:paraId="4235199F" w14:textId="675F8491" w:rsidR="006A1E74" w:rsidRPr="00894D21" w:rsidRDefault="005F319A" w:rsidP="00907EE5">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sidRPr="00E30632">
              <w:rPr>
                <w:rFonts w:ascii="Times New Roman" w:hAnsi="Times New Roman" w:cs="Times New Roman"/>
                <w:sz w:val="24"/>
                <w:szCs w:val="24"/>
              </w:rPr>
              <w:t>Ieguldījumu brokeru sabiedrību likums</w:t>
            </w:r>
            <w:r w:rsidR="006A1E74" w:rsidRPr="00E30632">
              <w:rPr>
                <w:rFonts w:ascii="Times New Roman" w:hAnsi="Times New Roman" w:cs="Times New Roman"/>
                <w:sz w:val="24"/>
                <w:szCs w:val="24"/>
              </w:rPr>
              <w:t>;</w:t>
            </w:r>
          </w:p>
          <w:p w14:paraId="1F294DB4" w14:textId="70CEDDBF" w:rsidR="006A1E74" w:rsidRDefault="00450D45"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Darba</w:t>
            </w:r>
            <w:r w:rsidR="006A1E74" w:rsidRPr="00894D21">
              <w:rPr>
                <w:rFonts w:ascii="Times New Roman" w:hAnsi="Times New Roman" w:cs="Times New Roman"/>
                <w:sz w:val="24"/>
                <w:szCs w:val="24"/>
              </w:rPr>
              <w:t xml:space="preserve"> likums;</w:t>
            </w:r>
          </w:p>
          <w:p w14:paraId="0A89EB28" w14:textId="4081DB25" w:rsidR="001F3F21" w:rsidRPr="00894D21" w:rsidRDefault="001F3F21"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Finanšu instrumentu tirgus likums;</w:t>
            </w:r>
          </w:p>
          <w:p w14:paraId="4CB33EFF" w14:textId="0B487A59" w:rsidR="00245C21" w:rsidRPr="00894D21" w:rsidRDefault="00AE64DD"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w:t>
            </w:r>
            <w:r w:rsidR="00F00AA2">
              <w:rPr>
                <w:rFonts w:ascii="Times New Roman" w:hAnsi="Times New Roman" w:cs="Times New Roman"/>
                <w:sz w:val="24"/>
                <w:szCs w:val="24"/>
              </w:rPr>
              <w:t>oteikumi Nr.</w:t>
            </w:r>
            <w:r w:rsidR="00BA2695">
              <w:rPr>
                <w:rFonts w:ascii="Times New Roman" w:hAnsi="Times New Roman" w:cs="Times New Roman"/>
                <w:sz w:val="24"/>
                <w:szCs w:val="24"/>
              </w:rPr>
              <w:t> </w:t>
            </w:r>
            <w:r w:rsidR="00F00AA2">
              <w:rPr>
                <w:rFonts w:ascii="Times New Roman" w:hAnsi="Times New Roman" w:cs="Times New Roman"/>
                <w:sz w:val="24"/>
                <w:szCs w:val="24"/>
              </w:rPr>
              <w:t>162;</w:t>
            </w:r>
          </w:p>
          <w:p w14:paraId="22DA4549" w14:textId="19CBCF66" w:rsidR="00A06E04" w:rsidRDefault="00C32023"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sidRPr="00894D21">
              <w:rPr>
                <w:rFonts w:ascii="Times New Roman" w:hAnsi="Times New Roman" w:cs="Times New Roman"/>
                <w:sz w:val="24"/>
                <w:szCs w:val="24"/>
              </w:rPr>
              <w:t xml:space="preserve">Latvijas Bankas </w:t>
            </w:r>
            <w:r w:rsidR="008E1212" w:rsidRPr="00894D21">
              <w:rPr>
                <w:rFonts w:ascii="Times New Roman" w:hAnsi="Times New Roman" w:cs="Times New Roman"/>
                <w:sz w:val="24"/>
                <w:szCs w:val="24"/>
              </w:rPr>
              <w:t>2022.</w:t>
            </w:r>
            <w:r w:rsidR="00C86378" w:rsidRPr="00894D21">
              <w:rPr>
                <w:rFonts w:ascii="Times New Roman" w:hAnsi="Times New Roman" w:cs="Times New Roman"/>
                <w:sz w:val="24"/>
                <w:szCs w:val="24"/>
              </w:rPr>
              <w:t> </w:t>
            </w:r>
            <w:r w:rsidR="008E1212" w:rsidRPr="00894D21">
              <w:rPr>
                <w:rFonts w:ascii="Times New Roman" w:hAnsi="Times New Roman" w:cs="Times New Roman"/>
                <w:sz w:val="24"/>
                <w:szCs w:val="24"/>
              </w:rPr>
              <w:t>gada 24.</w:t>
            </w:r>
            <w:r w:rsidR="00C86378" w:rsidRPr="00894D21">
              <w:rPr>
                <w:rFonts w:ascii="Times New Roman" w:hAnsi="Times New Roman" w:cs="Times New Roman"/>
                <w:sz w:val="24"/>
                <w:szCs w:val="24"/>
              </w:rPr>
              <w:t> </w:t>
            </w:r>
            <w:r w:rsidR="008E1212" w:rsidRPr="00894D21">
              <w:rPr>
                <w:rFonts w:ascii="Times New Roman" w:hAnsi="Times New Roman" w:cs="Times New Roman"/>
                <w:sz w:val="24"/>
                <w:szCs w:val="24"/>
              </w:rPr>
              <w:t>oktobra</w:t>
            </w:r>
            <w:r w:rsidR="00F700C0" w:rsidRPr="00894D21">
              <w:rPr>
                <w:rFonts w:ascii="Times New Roman" w:hAnsi="Times New Roman" w:cs="Times New Roman"/>
                <w:sz w:val="24"/>
                <w:szCs w:val="24"/>
              </w:rPr>
              <w:t xml:space="preserve"> noteikumi Nr</w:t>
            </w:r>
            <w:r w:rsidR="006064AD" w:rsidRPr="00894D21">
              <w:rPr>
                <w:rFonts w:ascii="Times New Roman" w:hAnsi="Times New Roman" w:cs="Times New Roman"/>
                <w:sz w:val="24"/>
                <w:szCs w:val="24"/>
              </w:rPr>
              <w:t>.</w:t>
            </w:r>
            <w:r w:rsidR="00C86378" w:rsidRPr="00894D21">
              <w:rPr>
                <w:rFonts w:ascii="Times New Roman" w:hAnsi="Times New Roman" w:cs="Times New Roman"/>
                <w:sz w:val="24"/>
                <w:szCs w:val="24"/>
              </w:rPr>
              <w:t> </w:t>
            </w:r>
            <w:r w:rsidR="006064AD" w:rsidRPr="00894D21">
              <w:rPr>
                <w:rFonts w:ascii="Times New Roman" w:hAnsi="Times New Roman" w:cs="Times New Roman"/>
                <w:sz w:val="24"/>
                <w:szCs w:val="24"/>
              </w:rPr>
              <w:t>226 "Noteikumi par elektronisko informācijas apmaiņu ar Latvijas Banku"</w:t>
            </w:r>
            <w:r w:rsidR="00F00AA2">
              <w:rPr>
                <w:rFonts w:ascii="Times New Roman" w:hAnsi="Times New Roman" w:cs="Times New Roman"/>
                <w:sz w:val="24"/>
                <w:szCs w:val="24"/>
              </w:rPr>
              <w:t>;</w:t>
            </w:r>
          </w:p>
          <w:p w14:paraId="5FC31A4A" w14:textId="4F42689C" w:rsidR="00AA7276" w:rsidRDefault="00AA7276"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Latvijas Bankas noteikumu projekts "</w:t>
            </w:r>
            <w:r w:rsidRPr="00AA7276">
              <w:rPr>
                <w:rFonts w:ascii="Times New Roman" w:hAnsi="Times New Roman" w:cs="Times New Roman"/>
                <w:sz w:val="24"/>
                <w:szCs w:val="24"/>
              </w:rPr>
              <w:t>Ieguldījumu brokeru sabiedrību pārvaldības sistēmas izveides noteikumi</w:t>
            </w:r>
            <w:r>
              <w:rPr>
                <w:rFonts w:ascii="Times New Roman" w:hAnsi="Times New Roman" w:cs="Times New Roman"/>
                <w:sz w:val="24"/>
                <w:szCs w:val="24"/>
              </w:rPr>
              <w:t>";</w:t>
            </w:r>
          </w:p>
          <w:p w14:paraId="089F7CC9" w14:textId="27632479" w:rsidR="00D9358D" w:rsidRDefault="00D9358D"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sidRPr="00D9358D">
              <w:rPr>
                <w:rFonts w:ascii="Times New Roman" w:hAnsi="Times New Roman" w:cs="Times New Roman"/>
                <w:sz w:val="24"/>
                <w:szCs w:val="24"/>
              </w:rPr>
              <w:t>Finanšu un kapitāla tirgus komisijas 2022.</w:t>
            </w:r>
            <w:r>
              <w:rPr>
                <w:rFonts w:ascii="Times New Roman" w:hAnsi="Times New Roman" w:cs="Times New Roman"/>
                <w:sz w:val="24"/>
                <w:szCs w:val="24"/>
              </w:rPr>
              <w:t> </w:t>
            </w:r>
            <w:r w:rsidRPr="00D9358D">
              <w:rPr>
                <w:rFonts w:ascii="Times New Roman" w:hAnsi="Times New Roman" w:cs="Times New Roman"/>
                <w:sz w:val="24"/>
                <w:szCs w:val="24"/>
              </w:rPr>
              <w:t>gada 6.</w:t>
            </w:r>
            <w:r>
              <w:rPr>
                <w:rFonts w:ascii="Times New Roman" w:hAnsi="Times New Roman" w:cs="Times New Roman"/>
                <w:sz w:val="24"/>
                <w:szCs w:val="24"/>
              </w:rPr>
              <w:t> </w:t>
            </w:r>
            <w:r w:rsidRPr="00D9358D">
              <w:rPr>
                <w:rFonts w:ascii="Times New Roman" w:hAnsi="Times New Roman" w:cs="Times New Roman"/>
                <w:sz w:val="24"/>
                <w:szCs w:val="24"/>
              </w:rPr>
              <w:t>decembra normatīv</w:t>
            </w:r>
            <w:r>
              <w:rPr>
                <w:rFonts w:ascii="Times New Roman" w:hAnsi="Times New Roman" w:cs="Times New Roman"/>
                <w:sz w:val="24"/>
                <w:szCs w:val="24"/>
              </w:rPr>
              <w:t>ie</w:t>
            </w:r>
            <w:r w:rsidRPr="00D9358D">
              <w:rPr>
                <w:rFonts w:ascii="Times New Roman" w:hAnsi="Times New Roman" w:cs="Times New Roman"/>
                <w:sz w:val="24"/>
                <w:szCs w:val="24"/>
              </w:rPr>
              <w:t xml:space="preserve"> noteikum</w:t>
            </w:r>
            <w:r>
              <w:rPr>
                <w:rFonts w:ascii="Times New Roman" w:hAnsi="Times New Roman" w:cs="Times New Roman"/>
                <w:sz w:val="24"/>
                <w:szCs w:val="24"/>
              </w:rPr>
              <w:t>i</w:t>
            </w:r>
            <w:r w:rsidRPr="00D9358D">
              <w:rPr>
                <w:rFonts w:ascii="Times New Roman" w:hAnsi="Times New Roman" w:cs="Times New Roman"/>
                <w:sz w:val="24"/>
                <w:szCs w:val="24"/>
              </w:rPr>
              <w:t xml:space="preserve"> Nr.</w:t>
            </w:r>
            <w:r>
              <w:rPr>
                <w:rFonts w:ascii="Times New Roman" w:hAnsi="Times New Roman" w:cs="Times New Roman"/>
                <w:sz w:val="24"/>
                <w:szCs w:val="24"/>
              </w:rPr>
              <w:t> </w:t>
            </w:r>
            <w:r w:rsidRPr="00D9358D">
              <w:rPr>
                <w:rFonts w:ascii="Times New Roman" w:hAnsi="Times New Roman" w:cs="Times New Roman"/>
                <w:sz w:val="24"/>
                <w:szCs w:val="24"/>
              </w:rPr>
              <w:t xml:space="preserve">212 </w:t>
            </w:r>
            <w:r w:rsidR="00E0039D" w:rsidRPr="00894D21">
              <w:rPr>
                <w:rFonts w:ascii="Times New Roman" w:hAnsi="Times New Roman" w:cs="Times New Roman"/>
                <w:sz w:val="24"/>
                <w:szCs w:val="24"/>
              </w:rPr>
              <w:t>"</w:t>
            </w:r>
            <w:r w:rsidRPr="00D9358D">
              <w:rPr>
                <w:rFonts w:ascii="Times New Roman" w:hAnsi="Times New Roman" w:cs="Times New Roman"/>
                <w:sz w:val="24"/>
                <w:szCs w:val="24"/>
              </w:rPr>
              <w:t>Ieguldījumu brokeru sabiedrību pārvaldības sistēmas izveides normatīvie noteikumi</w:t>
            </w:r>
            <w:r w:rsidR="00E0039D" w:rsidRPr="00894D21">
              <w:rPr>
                <w:rFonts w:ascii="Times New Roman" w:hAnsi="Times New Roman" w:cs="Times New Roman"/>
                <w:sz w:val="24"/>
                <w:szCs w:val="24"/>
              </w:rPr>
              <w:t>"</w:t>
            </w:r>
            <w:r>
              <w:rPr>
                <w:rFonts w:ascii="Times New Roman" w:hAnsi="Times New Roman" w:cs="Times New Roman"/>
                <w:sz w:val="24"/>
                <w:szCs w:val="24"/>
              </w:rPr>
              <w:t>;</w:t>
            </w:r>
          </w:p>
          <w:p w14:paraId="4E233925" w14:textId="7E0BB4D1" w:rsidR="00202BC7" w:rsidRDefault="00202BC7"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Latvijas Bankas noteikumu projekts "</w:t>
            </w:r>
            <w:r w:rsidRPr="00202BC7">
              <w:rPr>
                <w:rFonts w:ascii="Times New Roman" w:eastAsia="Times New Roman" w:hAnsi="Times New Roman" w:cs="Times New Roman"/>
                <w:sz w:val="24"/>
                <w:szCs w:val="24"/>
                <w:lang w:eastAsia="lv-LV"/>
              </w:rPr>
              <w:t>Noteikumi par kredītiestāžu atalgojuma politiku un praksi</w:t>
            </w:r>
            <w:r>
              <w:rPr>
                <w:rFonts w:ascii="Times New Roman" w:eastAsia="Times New Roman" w:hAnsi="Times New Roman" w:cs="Times New Roman"/>
                <w:sz w:val="24"/>
                <w:szCs w:val="24"/>
                <w:lang w:eastAsia="lv-LV"/>
              </w:rPr>
              <w:t>";</w:t>
            </w:r>
          </w:p>
          <w:p w14:paraId="0A285250" w14:textId="36A2B600" w:rsidR="00F00AA2" w:rsidRPr="00E30632" w:rsidRDefault="00F00AA2"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sidRPr="00E30632">
              <w:rPr>
                <w:rFonts w:ascii="Times New Roman" w:hAnsi="Times New Roman" w:cs="Times New Roman"/>
                <w:sz w:val="24"/>
                <w:szCs w:val="24"/>
              </w:rPr>
              <w:t>Direktīva Nr.</w:t>
            </w:r>
            <w:r w:rsidR="00BA2695">
              <w:rPr>
                <w:rFonts w:ascii="Times New Roman" w:hAnsi="Times New Roman" w:cs="Times New Roman"/>
                <w:sz w:val="24"/>
                <w:szCs w:val="24"/>
              </w:rPr>
              <w:t> </w:t>
            </w:r>
            <w:r w:rsidRPr="00E30632">
              <w:rPr>
                <w:rFonts w:ascii="Times New Roman" w:hAnsi="Times New Roman" w:cs="Times New Roman"/>
                <w:sz w:val="24"/>
                <w:szCs w:val="24"/>
              </w:rPr>
              <w:t>2019/2034;</w:t>
            </w:r>
          </w:p>
          <w:p w14:paraId="1DF4B7C9" w14:textId="1EFE7D8A" w:rsidR="00E30632" w:rsidRDefault="00EA1855"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sidRPr="003C7FA2">
              <w:rPr>
                <w:rFonts w:ascii="Times New Roman" w:eastAsia="Times New Roman" w:hAnsi="Times New Roman" w:cs="Times New Roman"/>
                <w:sz w:val="24"/>
                <w:szCs w:val="24"/>
                <w:lang w:eastAsia="lv-LV"/>
              </w:rPr>
              <w:t>Regula Nr. </w:t>
            </w:r>
            <w:hyperlink r:id="rId12" w:tgtFrame="_blank" w:history="1">
              <w:r w:rsidRPr="003C7FA2">
                <w:rPr>
                  <w:rFonts w:ascii="Times New Roman" w:eastAsia="Times New Roman" w:hAnsi="Times New Roman" w:cs="Times New Roman"/>
                  <w:sz w:val="24"/>
                  <w:szCs w:val="24"/>
                  <w:lang w:eastAsia="lv-LV"/>
                </w:rPr>
                <w:t>2019/2033</w:t>
              </w:r>
            </w:hyperlink>
            <w:r w:rsidR="00E30632" w:rsidRPr="00E30632">
              <w:rPr>
                <w:rFonts w:ascii="Times New Roman" w:hAnsi="Times New Roman" w:cs="Times New Roman"/>
                <w:sz w:val="24"/>
                <w:szCs w:val="24"/>
              </w:rPr>
              <w:t>;</w:t>
            </w:r>
          </w:p>
          <w:p w14:paraId="40A9BA0C" w14:textId="73300AA8" w:rsidR="00E30632" w:rsidRPr="009818C1" w:rsidRDefault="00E30632"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sidRPr="00E30632">
              <w:rPr>
                <w:rFonts w:ascii="Times New Roman" w:hAnsi="Times New Roman" w:cs="Times New Roman"/>
                <w:sz w:val="24"/>
                <w:szCs w:val="24"/>
              </w:rPr>
              <w:t>Komisijas 2021.</w:t>
            </w:r>
            <w:r w:rsidR="00BA2695">
              <w:rPr>
                <w:rFonts w:ascii="Times New Roman" w:hAnsi="Times New Roman" w:cs="Times New Roman"/>
                <w:sz w:val="24"/>
                <w:szCs w:val="24"/>
              </w:rPr>
              <w:t> </w:t>
            </w:r>
            <w:r w:rsidRPr="00E30632">
              <w:rPr>
                <w:rFonts w:ascii="Times New Roman" w:hAnsi="Times New Roman" w:cs="Times New Roman"/>
                <w:sz w:val="24"/>
                <w:szCs w:val="24"/>
              </w:rPr>
              <w:t>gada 13.</w:t>
            </w:r>
            <w:r w:rsidR="00BA2695">
              <w:rPr>
                <w:rFonts w:ascii="Times New Roman" w:hAnsi="Times New Roman" w:cs="Times New Roman"/>
                <w:sz w:val="24"/>
                <w:szCs w:val="24"/>
              </w:rPr>
              <w:t> </w:t>
            </w:r>
            <w:r w:rsidRPr="00E30632">
              <w:rPr>
                <w:rFonts w:ascii="Times New Roman" w:hAnsi="Times New Roman" w:cs="Times New Roman"/>
                <w:sz w:val="24"/>
                <w:szCs w:val="24"/>
              </w:rPr>
              <w:t xml:space="preserve">augusta </w:t>
            </w:r>
            <w:r w:rsidR="00BA2695">
              <w:rPr>
                <w:rFonts w:ascii="Times New Roman" w:hAnsi="Times New Roman" w:cs="Times New Roman"/>
                <w:sz w:val="24"/>
                <w:szCs w:val="24"/>
              </w:rPr>
              <w:t>d</w:t>
            </w:r>
            <w:r w:rsidRPr="00E30632">
              <w:rPr>
                <w:rFonts w:ascii="Times New Roman" w:hAnsi="Times New Roman" w:cs="Times New Roman"/>
                <w:sz w:val="24"/>
                <w:szCs w:val="24"/>
              </w:rPr>
              <w:t>eleģētā regul</w:t>
            </w:r>
            <w:r w:rsidR="00BA1636">
              <w:rPr>
                <w:rFonts w:ascii="Times New Roman" w:hAnsi="Times New Roman" w:cs="Times New Roman"/>
                <w:sz w:val="24"/>
                <w:szCs w:val="24"/>
              </w:rPr>
              <w:t>a</w:t>
            </w:r>
            <w:r w:rsidRPr="00E30632">
              <w:rPr>
                <w:rFonts w:ascii="Times New Roman" w:hAnsi="Times New Roman" w:cs="Times New Roman"/>
                <w:sz w:val="24"/>
                <w:szCs w:val="24"/>
              </w:rPr>
              <w:t xml:space="preserve"> (ES)</w:t>
            </w:r>
            <w:r w:rsidR="00BA2695">
              <w:rPr>
                <w:rFonts w:ascii="Times New Roman" w:hAnsi="Times New Roman" w:cs="Times New Roman"/>
                <w:sz w:val="24"/>
                <w:szCs w:val="24"/>
              </w:rPr>
              <w:t> </w:t>
            </w:r>
            <w:r w:rsidRPr="00E30632">
              <w:rPr>
                <w:rFonts w:ascii="Times New Roman" w:hAnsi="Times New Roman" w:cs="Times New Roman"/>
                <w:sz w:val="24"/>
                <w:szCs w:val="24"/>
              </w:rPr>
              <w:t xml:space="preserve">2021/2154, ar kuru papildina Eiropas Parlamenta un Padomes </w:t>
            </w:r>
            <w:r w:rsidR="00FF190A" w:rsidRPr="00E30632">
              <w:rPr>
                <w:rFonts w:ascii="Times New Roman" w:hAnsi="Times New Roman" w:cs="Times New Roman"/>
                <w:sz w:val="24"/>
                <w:szCs w:val="24"/>
              </w:rPr>
              <w:t xml:space="preserve">direktīvu </w:t>
            </w:r>
            <w:r w:rsidRPr="00E30632">
              <w:rPr>
                <w:rFonts w:ascii="Times New Roman" w:hAnsi="Times New Roman" w:cs="Times New Roman"/>
                <w:sz w:val="24"/>
                <w:szCs w:val="24"/>
              </w:rPr>
              <w:t>(ES)</w:t>
            </w:r>
            <w:r w:rsidR="00BA2695">
              <w:rPr>
                <w:rFonts w:ascii="Times New Roman" w:hAnsi="Times New Roman" w:cs="Times New Roman"/>
                <w:sz w:val="24"/>
                <w:szCs w:val="24"/>
              </w:rPr>
              <w:t> </w:t>
            </w:r>
            <w:r w:rsidRPr="00E30632">
              <w:rPr>
                <w:rFonts w:ascii="Times New Roman" w:hAnsi="Times New Roman" w:cs="Times New Roman"/>
                <w:sz w:val="24"/>
                <w:szCs w:val="24"/>
              </w:rPr>
              <w:t>2019/2034 attiecībā uz regulatīvajiem tehniskajiem standartiem, ar ko precizē atbilstošus kritērijus to darbinieku kategoriju identificēšanai, kuru profesionālā darbība būtiski ietekmē ieguldījumu brokeru sabiedrības vai tās pārvaldīto aktīvu riska profilu</w:t>
            </w:r>
            <w:r>
              <w:rPr>
                <w:rFonts w:ascii="Times New Roman" w:hAnsi="Times New Roman" w:cs="Times New Roman"/>
                <w:sz w:val="24"/>
                <w:szCs w:val="24"/>
              </w:rPr>
              <w:t>;</w:t>
            </w:r>
          </w:p>
          <w:p w14:paraId="67C50B55" w14:textId="4C71C364" w:rsidR="00C115FD" w:rsidRPr="00D92E3B" w:rsidRDefault="00C115FD"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r w:rsidRPr="008A5018">
              <w:rPr>
                <w:rFonts w:ascii="Times New Roman" w:hAnsi="Times New Roman" w:cs="Times New Roman"/>
                <w:sz w:val="24"/>
                <w:szCs w:val="24"/>
              </w:rPr>
              <w:t>Komisijas 2021.</w:t>
            </w:r>
            <w:r>
              <w:rPr>
                <w:rFonts w:ascii="Times New Roman" w:hAnsi="Times New Roman" w:cs="Times New Roman"/>
                <w:sz w:val="24"/>
                <w:szCs w:val="24"/>
              </w:rPr>
              <w:t> </w:t>
            </w:r>
            <w:r w:rsidRPr="008A5018">
              <w:rPr>
                <w:rFonts w:ascii="Times New Roman" w:hAnsi="Times New Roman" w:cs="Times New Roman"/>
                <w:sz w:val="24"/>
                <w:szCs w:val="24"/>
              </w:rPr>
              <w:t>gada 13.</w:t>
            </w:r>
            <w:r>
              <w:rPr>
                <w:rFonts w:ascii="Times New Roman" w:hAnsi="Times New Roman" w:cs="Times New Roman"/>
                <w:sz w:val="24"/>
                <w:szCs w:val="24"/>
              </w:rPr>
              <w:t> </w:t>
            </w:r>
            <w:r w:rsidRPr="008A5018">
              <w:rPr>
                <w:rFonts w:ascii="Times New Roman" w:hAnsi="Times New Roman" w:cs="Times New Roman"/>
                <w:sz w:val="24"/>
                <w:szCs w:val="24"/>
              </w:rPr>
              <w:t>august</w:t>
            </w:r>
            <w:r>
              <w:rPr>
                <w:rFonts w:ascii="Times New Roman" w:hAnsi="Times New Roman" w:cs="Times New Roman"/>
                <w:sz w:val="24"/>
                <w:szCs w:val="24"/>
              </w:rPr>
              <w:t>a</w:t>
            </w:r>
            <w:r w:rsidRPr="008A5018">
              <w:rPr>
                <w:rFonts w:ascii="Times New Roman" w:hAnsi="Times New Roman" w:cs="Times New Roman"/>
                <w:sz w:val="24"/>
                <w:szCs w:val="24"/>
              </w:rPr>
              <w:t xml:space="preserve"> </w:t>
            </w:r>
            <w:r>
              <w:rPr>
                <w:rFonts w:ascii="Times New Roman" w:hAnsi="Times New Roman" w:cs="Times New Roman"/>
                <w:sz w:val="24"/>
                <w:szCs w:val="24"/>
              </w:rPr>
              <w:t>d</w:t>
            </w:r>
            <w:r w:rsidRPr="008A5018">
              <w:rPr>
                <w:rFonts w:ascii="Times New Roman" w:hAnsi="Times New Roman" w:cs="Times New Roman"/>
                <w:sz w:val="24"/>
                <w:szCs w:val="24"/>
              </w:rPr>
              <w:t>eleģētā regula (ES)</w:t>
            </w:r>
            <w:r>
              <w:rPr>
                <w:rFonts w:ascii="Times New Roman" w:hAnsi="Times New Roman" w:cs="Times New Roman"/>
                <w:sz w:val="24"/>
                <w:szCs w:val="24"/>
              </w:rPr>
              <w:t> </w:t>
            </w:r>
            <w:r w:rsidRPr="008A5018">
              <w:rPr>
                <w:rFonts w:ascii="Times New Roman" w:hAnsi="Times New Roman" w:cs="Times New Roman"/>
                <w:sz w:val="24"/>
                <w:szCs w:val="24"/>
              </w:rPr>
              <w:t xml:space="preserve">2021/2155, ar ko attiecībā uz regulatīvajiem tehniskajiem standartiem, precizējot to instrumentu klases, kas adekvāti atspoguļo ieguldījumu brokeru sabiedrības kredītkvalitāti parastās situācijās, un iespējamo alternatīvo kārtību, kura ir piemērota izmantošanai atalgojuma mainīgās daļas vajadzībām, papildina Eiropas Parlamenta un Padomes </w:t>
            </w:r>
            <w:r>
              <w:rPr>
                <w:rFonts w:ascii="Times New Roman" w:hAnsi="Times New Roman" w:cs="Times New Roman"/>
                <w:sz w:val="24"/>
                <w:szCs w:val="24"/>
              </w:rPr>
              <w:t>d</w:t>
            </w:r>
            <w:r w:rsidRPr="008A5018">
              <w:rPr>
                <w:rFonts w:ascii="Times New Roman" w:hAnsi="Times New Roman" w:cs="Times New Roman"/>
                <w:sz w:val="24"/>
                <w:szCs w:val="24"/>
              </w:rPr>
              <w:t>irektīvu (ES) 2019/2034</w:t>
            </w:r>
            <w:r>
              <w:rPr>
                <w:rFonts w:ascii="Times New Roman" w:hAnsi="Times New Roman" w:cs="Times New Roman"/>
                <w:sz w:val="24"/>
                <w:szCs w:val="24"/>
              </w:rPr>
              <w:t>;</w:t>
            </w:r>
          </w:p>
          <w:p w14:paraId="780E48A6" w14:textId="4B5DC7C1" w:rsidR="009818C1" w:rsidRPr="00A31EC0" w:rsidRDefault="00D8096B"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hyperlink r:id="rId13" w:history="1">
              <w:r w:rsidR="00E04087" w:rsidRPr="00A31EC0">
                <w:rPr>
                  <w:rStyle w:val="Hyperlink"/>
                  <w:rFonts w:ascii="Times New Roman" w:hAnsi="Times New Roman" w:cs="Times New Roman"/>
                  <w:color w:val="auto"/>
                  <w:sz w:val="24"/>
                  <w:szCs w:val="24"/>
                  <w:u w:val="none"/>
                </w:rPr>
                <w:t>Pamatnostādnes Nr. ESMA35-43-3565</w:t>
              </w:r>
            </w:hyperlink>
            <w:r w:rsidR="00E30632" w:rsidRPr="00A31EC0">
              <w:rPr>
                <w:rFonts w:ascii="Times New Roman" w:hAnsi="Times New Roman" w:cs="Times New Roman"/>
                <w:sz w:val="24"/>
                <w:szCs w:val="24"/>
              </w:rPr>
              <w:t>;</w:t>
            </w:r>
          </w:p>
          <w:p w14:paraId="5FCA406F" w14:textId="79CF13A3" w:rsidR="009818C1" w:rsidRPr="00A31EC0" w:rsidRDefault="00D8096B"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hyperlink r:id="rId14" w:history="1">
              <w:r w:rsidR="00E30632" w:rsidRPr="00A31EC0">
                <w:rPr>
                  <w:rFonts w:ascii="Times New Roman" w:hAnsi="Times New Roman" w:cs="Times New Roman"/>
                  <w:sz w:val="24"/>
                  <w:szCs w:val="24"/>
                </w:rPr>
                <w:t>Eiropas Banku iestādes 2021.</w:t>
              </w:r>
              <w:r w:rsidR="00BA2695" w:rsidRPr="00A31EC0">
                <w:rPr>
                  <w:rFonts w:ascii="Times New Roman" w:hAnsi="Times New Roman" w:cs="Times New Roman"/>
                  <w:sz w:val="24"/>
                  <w:szCs w:val="24"/>
                </w:rPr>
                <w:t> </w:t>
              </w:r>
              <w:r w:rsidR="00E30632" w:rsidRPr="00A31EC0">
                <w:rPr>
                  <w:rFonts w:ascii="Times New Roman" w:hAnsi="Times New Roman" w:cs="Times New Roman"/>
                  <w:sz w:val="24"/>
                  <w:szCs w:val="24"/>
                </w:rPr>
                <w:t>gada 22.</w:t>
              </w:r>
              <w:r w:rsidR="00BA2695" w:rsidRPr="00A31EC0">
                <w:rPr>
                  <w:rFonts w:ascii="Times New Roman" w:hAnsi="Times New Roman" w:cs="Times New Roman"/>
                  <w:sz w:val="24"/>
                  <w:szCs w:val="24"/>
                </w:rPr>
                <w:t> </w:t>
              </w:r>
              <w:r w:rsidR="00E30632" w:rsidRPr="00A31EC0">
                <w:rPr>
                  <w:rFonts w:ascii="Times New Roman" w:hAnsi="Times New Roman" w:cs="Times New Roman"/>
                  <w:sz w:val="24"/>
                  <w:szCs w:val="24"/>
                </w:rPr>
                <w:t>novembra pamatnostādnes EBA/GL/2021/13 "Pamatnostādnes par pareizu atalgojuma politiku saskaņā ar Direktīvu (ES)</w:t>
              </w:r>
              <w:r w:rsidR="00827CC2" w:rsidRPr="00A31EC0">
                <w:rPr>
                  <w:rFonts w:ascii="Times New Roman" w:hAnsi="Times New Roman" w:cs="Times New Roman"/>
                  <w:sz w:val="24"/>
                  <w:szCs w:val="24"/>
                </w:rPr>
                <w:t> </w:t>
              </w:r>
              <w:r w:rsidR="00E30632" w:rsidRPr="00A31EC0">
                <w:rPr>
                  <w:rFonts w:ascii="Times New Roman" w:hAnsi="Times New Roman" w:cs="Times New Roman"/>
                  <w:sz w:val="24"/>
                  <w:szCs w:val="24"/>
                </w:rPr>
                <w:t>2019/2034</w:t>
              </w:r>
              <w:r w:rsidR="009818C1" w:rsidRPr="00A31EC0">
                <w:rPr>
                  <w:rFonts w:ascii="Times New Roman" w:hAnsi="Times New Roman" w:cs="Times New Roman"/>
                  <w:sz w:val="24"/>
                  <w:szCs w:val="24"/>
                </w:rPr>
                <w:t>"</w:t>
              </w:r>
            </w:hyperlink>
            <w:r w:rsidR="009818C1" w:rsidRPr="00A31EC0">
              <w:rPr>
                <w:rFonts w:ascii="Times New Roman" w:hAnsi="Times New Roman" w:cs="Times New Roman"/>
                <w:sz w:val="24"/>
                <w:szCs w:val="24"/>
              </w:rPr>
              <w:t>;</w:t>
            </w:r>
          </w:p>
          <w:p w14:paraId="1DC7BC83" w14:textId="2E47D1D8" w:rsidR="00E30632" w:rsidRPr="00A31EC0" w:rsidRDefault="00D8096B"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hyperlink r:id="rId15" w:history="1">
              <w:r w:rsidR="00E30632" w:rsidRPr="00A31EC0">
                <w:rPr>
                  <w:rStyle w:val="Hyperlink"/>
                  <w:rFonts w:ascii="Times New Roman" w:hAnsi="Times New Roman" w:cs="Times New Roman"/>
                  <w:color w:val="auto"/>
                  <w:sz w:val="24"/>
                  <w:szCs w:val="24"/>
                  <w:u w:val="none"/>
                </w:rPr>
                <w:t>Eiropas Banku iestādes 2022.</w:t>
              </w:r>
              <w:r w:rsidR="00BA2695" w:rsidRPr="00A31EC0">
                <w:rPr>
                  <w:rStyle w:val="Hyperlink"/>
                  <w:rFonts w:ascii="Times New Roman" w:hAnsi="Times New Roman" w:cs="Times New Roman"/>
                  <w:color w:val="auto"/>
                  <w:sz w:val="24"/>
                  <w:szCs w:val="24"/>
                  <w:u w:val="none"/>
                </w:rPr>
                <w:t> </w:t>
              </w:r>
              <w:r w:rsidR="00E30632" w:rsidRPr="00A31EC0">
                <w:rPr>
                  <w:rStyle w:val="Hyperlink"/>
                  <w:rFonts w:ascii="Times New Roman" w:hAnsi="Times New Roman" w:cs="Times New Roman"/>
                  <w:color w:val="auto"/>
                  <w:sz w:val="24"/>
                  <w:szCs w:val="24"/>
                  <w:u w:val="none"/>
                </w:rPr>
                <w:t>gada 30.</w:t>
              </w:r>
              <w:r w:rsidR="00BA2695" w:rsidRPr="00A31EC0">
                <w:rPr>
                  <w:rStyle w:val="Hyperlink"/>
                  <w:rFonts w:ascii="Times New Roman" w:hAnsi="Times New Roman" w:cs="Times New Roman"/>
                  <w:color w:val="auto"/>
                  <w:sz w:val="24"/>
                  <w:szCs w:val="24"/>
                  <w:u w:val="none"/>
                </w:rPr>
                <w:t> </w:t>
              </w:r>
              <w:r w:rsidR="00E30632" w:rsidRPr="00A31EC0">
                <w:rPr>
                  <w:rStyle w:val="Hyperlink"/>
                  <w:rFonts w:ascii="Times New Roman" w:hAnsi="Times New Roman" w:cs="Times New Roman"/>
                  <w:color w:val="auto"/>
                  <w:sz w:val="24"/>
                  <w:szCs w:val="24"/>
                  <w:u w:val="none"/>
                </w:rPr>
                <w:t>jūnija pamatnostādn</w:t>
              </w:r>
              <w:r w:rsidR="00BA1636" w:rsidRPr="00A31EC0">
                <w:rPr>
                  <w:rStyle w:val="Hyperlink"/>
                  <w:rFonts w:ascii="Times New Roman" w:hAnsi="Times New Roman" w:cs="Times New Roman"/>
                  <w:color w:val="auto"/>
                  <w:sz w:val="24"/>
                  <w:szCs w:val="24"/>
                  <w:u w:val="none"/>
                </w:rPr>
                <w:t>es</w:t>
              </w:r>
              <w:r w:rsidR="00E30632" w:rsidRPr="00A31EC0">
                <w:rPr>
                  <w:rStyle w:val="Hyperlink"/>
                  <w:rFonts w:ascii="Times New Roman" w:hAnsi="Times New Roman" w:cs="Times New Roman"/>
                  <w:color w:val="auto"/>
                  <w:sz w:val="24"/>
                  <w:szCs w:val="24"/>
                  <w:u w:val="none"/>
                </w:rPr>
                <w:t xml:space="preserve"> EBA/GL/2022/07 "Pamatnostādnes par salīdzinošās novērtēšanas pasākumiem attiecībā uz atalgojuma praksi un vīriešu un sieviešu darba samaksas atšķirībām saskaņā ar Direktīvu (ES) 2019/2034"</w:t>
              </w:r>
            </w:hyperlink>
            <w:r w:rsidR="00E30632" w:rsidRPr="00A31EC0">
              <w:rPr>
                <w:rFonts w:ascii="Times New Roman" w:hAnsi="Times New Roman" w:cs="Times New Roman"/>
                <w:sz w:val="24"/>
                <w:szCs w:val="24"/>
              </w:rPr>
              <w:t>;</w:t>
            </w:r>
          </w:p>
          <w:p w14:paraId="37E58BF7" w14:textId="70431E37" w:rsidR="00E30632" w:rsidRPr="00E30632" w:rsidRDefault="00D8096B" w:rsidP="00685AE6">
            <w:pPr>
              <w:pStyle w:val="ListParagraph"/>
              <w:numPr>
                <w:ilvl w:val="0"/>
                <w:numId w:val="6"/>
              </w:numPr>
              <w:tabs>
                <w:tab w:val="left" w:pos="378"/>
              </w:tabs>
              <w:spacing w:after="120" w:line="240" w:lineRule="auto"/>
              <w:ind w:left="0" w:firstLine="0"/>
              <w:contextualSpacing w:val="0"/>
              <w:jc w:val="both"/>
              <w:rPr>
                <w:rFonts w:ascii="Times New Roman" w:hAnsi="Times New Roman" w:cs="Times New Roman"/>
                <w:sz w:val="24"/>
                <w:szCs w:val="24"/>
              </w:rPr>
            </w:pPr>
            <w:hyperlink r:id="rId16" w:history="1">
              <w:r w:rsidR="00C0473D" w:rsidRPr="00A31EC0">
                <w:rPr>
                  <w:rStyle w:val="Hyperlink"/>
                  <w:rFonts w:ascii="Times New Roman" w:hAnsi="Times New Roman" w:cs="Times New Roman"/>
                  <w:color w:val="auto"/>
                  <w:sz w:val="24"/>
                  <w:szCs w:val="24"/>
                  <w:u w:val="none"/>
                </w:rPr>
                <w:t>Eiropas Banku iestādes 2022. gada 30. jūnija pamatnostādnes Nr. EBA/GL/2022/08 "Pamatnostādnes par datu vākšanu attiecībā uz augsta atalgojuma saņēmējiem saskaņā ar Direktīvu 2013/36/ES un Direktīvu (ES) 2019/2034"</w:t>
              </w:r>
            </w:hyperlink>
            <w:r w:rsidR="009818C1" w:rsidRPr="00A31EC0">
              <w:rPr>
                <w:rFonts w:ascii="Times New Roman" w:hAnsi="Times New Roman" w:cs="Times New Roman"/>
                <w:sz w:val="24"/>
                <w:szCs w:val="24"/>
              </w:rPr>
              <w:t>.</w:t>
            </w:r>
          </w:p>
        </w:tc>
      </w:tr>
      <w:tr w:rsidR="006C3828" w:rsidRPr="00894D21" w14:paraId="40B6FA4E" w14:textId="77777777" w:rsidTr="00EB2E5D">
        <w:trPr>
          <w:trHeight w:val="567"/>
        </w:trPr>
        <w:tc>
          <w:tcPr>
            <w:tcW w:w="1573" w:type="pct"/>
            <w:shd w:val="clear" w:color="auto" w:fill="auto"/>
            <w:hideMark/>
          </w:tcPr>
          <w:p w14:paraId="735A19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p w14:paraId="6292914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2BDC6261" w14:textId="3CCFC56B"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EB2E5D">
        <w:trPr>
          <w:trHeight w:val="567"/>
        </w:trPr>
        <w:tc>
          <w:tcPr>
            <w:tcW w:w="1573" w:type="pct"/>
            <w:shd w:val="clear" w:color="auto" w:fill="auto"/>
            <w:hideMark/>
          </w:tcPr>
          <w:p w14:paraId="46AD5EB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666E4984" w14:textId="21E1A508" w:rsidR="000C77FF" w:rsidRPr="005433BE" w:rsidRDefault="000C77FF" w:rsidP="000C77FF">
            <w:pPr>
              <w:spacing w:after="120" w:line="240" w:lineRule="auto"/>
              <w:jc w:val="both"/>
              <w:rPr>
                <w:rFonts w:ascii="Times New Roman" w:eastAsia="Times New Roman" w:hAnsi="Times New Roman" w:cs="Times New Roman"/>
                <w:sz w:val="24"/>
                <w:szCs w:val="24"/>
                <w:lang w:eastAsia="lv-LV"/>
              </w:rPr>
            </w:pPr>
            <w:r w:rsidRPr="005433BE">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2024.</w:t>
            </w:r>
            <w:r w:rsidR="00C02FD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28.</w:t>
            </w:r>
            <w:r w:rsidR="00C02FD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augustā</w:t>
            </w:r>
            <w:r w:rsidRPr="005433BE">
              <w:rPr>
                <w:rFonts w:ascii="Times New Roman" w:eastAsia="Times New Roman" w:hAnsi="Times New Roman" w:cs="Times New Roman"/>
                <w:sz w:val="24"/>
                <w:szCs w:val="24"/>
                <w:lang w:eastAsia="lv-LV"/>
              </w:rPr>
              <w:t xml:space="preserve"> tika publicēts Latvijas Bankas tīmekļvietnes www.bank.lv sadaļas "Tiesību akti" apakšsadaļā "Sabiedrības līdzdalība", aicinot priekšlikumus iesniegt līdz </w:t>
            </w:r>
            <w:r>
              <w:rPr>
                <w:rFonts w:ascii="Times New Roman" w:eastAsia="Times New Roman" w:hAnsi="Times New Roman" w:cs="Times New Roman"/>
                <w:sz w:val="24"/>
                <w:szCs w:val="24"/>
                <w:lang w:eastAsia="lv-LV"/>
              </w:rPr>
              <w:t>2024.</w:t>
            </w:r>
            <w:r w:rsidR="00C02FD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11.</w:t>
            </w:r>
            <w:r w:rsidR="00C02FD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septembrim</w:t>
            </w:r>
            <w:r w:rsidRPr="005433BE">
              <w:rPr>
                <w:rFonts w:ascii="Times New Roman" w:eastAsia="Times New Roman" w:hAnsi="Times New Roman" w:cs="Times New Roman"/>
                <w:sz w:val="24"/>
                <w:szCs w:val="24"/>
                <w:lang w:eastAsia="lv-LV"/>
              </w:rPr>
              <w:t xml:space="preserve">. </w:t>
            </w:r>
          </w:p>
          <w:p w14:paraId="2CCCD760" w14:textId="7E02B9B6" w:rsidR="00230BAF" w:rsidRPr="00894D21" w:rsidRDefault="000C77FF" w:rsidP="000C77FF">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Vienlaikus par noteikumu projektu un notiekošo sabiedrības līdzdalību individuāli tik</w:t>
            </w:r>
            <w:r>
              <w:rPr>
                <w:rFonts w:ascii="Times New Roman" w:eastAsia="Times New Roman" w:hAnsi="Times New Roman" w:cs="Times New Roman"/>
                <w:sz w:val="24"/>
                <w:szCs w:val="24"/>
                <w:lang w:eastAsia="lv-LV"/>
              </w:rPr>
              <w:t>a</w:t>
            </w:r>
            <w:r w:rsidRPr="00894D21">
              <w:rPr>
                <w:rFonts w:ascii="Times New Roman" w:eastAsia="Times New Roman" w:hAnsi="Times New Roman" w:cs="Times New Roman"/>
                <w:sz w:val="24"/>
                <w:szCs w:val="24"/>
                <w:lang w:eastAsia="lv-LV"/>
              </w:rPr>
              <w:t xml:space="preserve"> informēta</w:t>
            </w:r>
            <w:r>
              <w:rPr>
                <w:rFonts w:ascii="Times New Roman" w:eastAsia="Times New Roman" w:hAnsi="Times New Roman" w:cs="Times New Roman"/>
                <w:sz w:val="24"/>
                <w:szCs w:val="24"/>
                <w:lang w:eastAsia="lv-LV"/>
              </w:rPr>
              <w:t>s iestādes</w:t>
            </w:r>
            <w:r w:rsidRPr="00894D21">
              <w:rPr>
                <w:rFonts w:ascii="Times New Roman" w:eastAsia="Times New Roman" w:hAnsi="Times New Roman" w:cs="Times New Roman"/>
                <w:sz w:val="24"/>
                <w:szCs w:val="24"/>
                <w:lang w:eastAsia="lv-LV"/>
              </w:rPr>
              <w:t>, kur</w:t>
            </w:r>
            <w:r>
              <w:rPr>
                <w:rFonts w:ascii="Times New Roman" w:eastAsia="Times New Roman" w:hAnsi="Times New Roman" w:cs="Times New Roman"/>
                <w:sz w:val="24"/>
                <w:szCs w:val="24"/>
                <w:lang w:eastAsia="lv-LV"/>
              </w:rPr>
              <w:t>ā</w:t>
            </w:r>
            <w:r w:rsidRPr="00894D21">
              <w:rPr>
                <w:rFonts w:ascii="Times New Roman" w:eastAsia="Times New Roman" w:hAnsi="Times New Roman" w:cs="Times New Roman"/>
                <w:sz w:val="24"/>
                <w:szCs w:val="24"/>
                <w:lang w:eastAsia="lv-LV"/>
              </w:rPr>
              <w:t>m būs saistoša noteikumu projektā ietverto prasību izpilde.</w:t>
            </w:r>
          </w:p>
        </w:tc>
      </w:tr>
      <w:tr w:rsidR="006C3828" w:rsidRPr="00894D21" w14:paraId="61D339D9" w14:textId="77777777" w:rsidTr="00EB2E5D">
        <w:trPr>
          <w:trHeight w:val="567"/>
        </w:trPr>
        <w:tc>
          <w:tcPr>
            <w:tcW w:w="1573" w:type="pct"/>
            <w:shd w:val="clear" w:color="auto" w:fill="auto"/>
            <w:hideMark/>
          </w:tcPr>
          <w:p w14:paraId="4CB6397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427" w:type="pct"/>
            <w:shd w:val="clear" w:color="auto" w:fill="auto"/>
          </w:tcPr>
          <w:p w14:paraId="692F977B" w14:textId="59228774" w:rsidR="006C3828" w:rsidRPr="00894D21" w:rsidRDefault="00031AAF" w:rsidP="00D53AC5">
            <w:pPr>
              <w:spacing w:after="120" w:line="240" w:lineRule="auto"/>
              <w:jc w:val="both"/>
              <w:rPr>
                <w:rFonts w:ascii="Times New Roman" w:eastAsia="Times New Roman" w:hAnsi="Times New Roman" w:cs="Times New Roman"/>
                <w:sz w:val="24"/>
                <w:szCs w:val="24"/>
                <w:lang w:eastAsia="lv-LV"/>
              </w:rPr>
            </w:pPr>
            <w:r w:rsidRPr="00031AAF">
              <w:rPr>
                <w:rFonts w:ascii="Times New Roman" w:eastAsia="Times New Roman" w:hAnsi="Times New Roman" w:cs="Times New Roman"/>
                <w:sz w:val="24"/>
                <w:szCs w:val="24"/>
                <w:lang w:eastAsia="lv-LV"/>
              </w:rPr>
              <w:t>Sabiedrības līdzdalības rezultātā par noteikumu projektu netika saņemti iebildumi vai priekšlikumi.</w:t>
            </w:r>
          </w:p>
        </w:tc>
      </w:tr>
    </w:tbl>
    <w:p w14:paraId="086EF7E5" w14:textId="30381687" w:rsidR="00EB1AF1" w:rsidRDefault="00EB1AF1" w:rsidP="00D53AC5">
      <w:pPr>
        <w:spacing w:line="240" w:lineRule="auto"/>
      </w:pPr>
    </w:p>
    <w:p w14:paraId="49167F17" w14:textId="77777777" w:rsidR="00EB1AF1" w:rsidRDefault="00EB1AF1">
      <w:pPr>
        <w:sectPr w:rsidR="00EB1AF1">
          <w:headerReference w:type="default" r:id="rId17"/>
          <w:pgSz w:w="11906" w:h="16838" w:code="9"/>
          <w:pgMar w:top="1134" w:right="1134" w:bottom="1134" w:left="1701" w:header="708" w:footer="708" w:gutter="0"/>
          <w:cols w:space="708"/>
          <w:titlePg/>
          <w:docGrid w:linePitch="360"/>
        </w:sectPr>
      </w:pPr>
      <w:r>
        <w:br w:type="page"/>
      </w:r>
    </w:p>
    <w:p w14:paraId="0D0ED98F" w14:textId="77777777" w:rsidR="00EB1AF1" w:rsidRPr="00AB380A" w:rsidRDefault="00EB1AF1" w:rsidP="00EB1AF1">
      <w:pPr>
        <w:spacing w:after="0" w:line="240" w:lineRule="auto"/>
        <w:jc w:val="right"/>
        <w:rPr>
          <w:rFonts w:ascii="Times New Roman" w:hAnsi="Times New Roman" w:cs="Times New Roman"/>
          <w:sz w:val="24"/>
          <w:szCs w:val="24"/>
        </w:rPr>
      </w:pPr>
      <w:r w:rsidRPr="00AB380A">
        <w:rPr>
          <w:rFonts w:ascii="Times New Roman" w:hAnsi="Times New Roman" w:cs="Times New Roman"/>
          <w:sz w:val="24"/>
          <w:szCs w:val="24"/>
        </w:rPr>
        <w:t>Pielikums</w:t>
      </w:r>
    </w:p>
    <w:p w14:paraId="0DBCE9D7" w14:textId="77777777" w:rsidR="00EB1AF1" w:rsidRPr="00AB380A" w:rsidRDefault="00EB1AF1" w:rsidP="00EB1AF1">
      <w:pPr>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23639B00" w14:textId="77777777" w:rsidR="00EB1AF1" w:rsidRPr="00AB380A" w:rsidRDefault="00EB1AF1" w:rsidP="00EB1AF1">
      <w:pPr>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3F3E03D3" w14:textId="77777777" w:rsidR="00EB1AF1" w:rsidRPr="00AB380A" w:rsidRDefault="00EB1AF1" w:rsidP="00EB1AF1">
      <w:pPr>
        <w:spacing w:after="0"/>
        <w:rPr>
          <w:rFonts w:ascii="Times New Roman" w:hAnsi="Times New Roman" w:cs="Times New Roman"/>
          <w:b/>
          <w:sz w:val="24"/>
          <w:szCs w:val="24"/>
        </w:rPr>
      </w:pPr>
    </w:p>
    <w:p w14:paraId="492591AA" w14:textId="3C3C8705" w:rsidR="00EB1AF1" w:rsidRPr="00AB380A" w:rsidRDefault="00EB1AF1" w:rsidP="00685AE6">
      <w:pPr>
        <w:jc w:val="both"/>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Pr="00EB1AF1">
        <w:rPr>
          <w:rFonts w:ascii="Times New Roman" w:hAnsi="Times New Roman" w:cs="Times New Roman"/>
          <w:bCs/>
          <w:sz w:val="24"/>
          <w:szCs w:val="24"/>
        </w:rPr>
        <w:t xml:space="preserve">Noteikumi par </w:t>
      </w:r>
      <w:r w:rsidR="005F7A8B" w:rsidRPr="005F7A8B">
        <w:rPr>
          <w:rFonts w:ascii="Times New Roman" w:hAnsi="Times New Roman" w:cs="Times New Roman"/>
          <w:bCs/>
          <w:sz w:val="24"/>
          <w:szCs w:val="24"/>
        </w:rPr>
        <w:t xml:space="preserve">ieguldījumu brokeru sabiedrību </w:t>
      </w:r>
      <w:r w:rsidRPr="00EB1AF1">
        <w:rPr>
          <w:rFonts w:ascii="Times New Roman" w:hAnsi="Times New Roman" w:cs="Times New Roman"/>
          <w:bCs/>
          <w:sz w:val="24"/>
          <w:szCs w:val="24"/>
        </w:rPr>
        <w:t>atalgojuma politiku un praksi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xml:space="preserve">– </w:t>
      </w:r>
      <w:r>
        <w:rPr>
          <w:rFonts w:ascii="Times New Roman" w:hAnsi="Times New Roman" w:cs="Times New Roman"/>
          <w:bCs/>
          <w:sz w:val="24"/>
          <w:szCs w:val="24"/>
        </w:rPr>
        <w:t xml:space="preserve">Noteikumu </w:t>
      </w:r>
      <w:r w:rsidRPr="00AB380A">
        <w:rPr>
          <w:rFonts w:ascii="Times New Roman" w:hAnsi="Times New Roman" w:cs="Times New Roman"/>
          <w:bCs/>
          <w:sz w:val="24"/>
          <w:szCs w:val="24"/>
        </w:rPr>
        <w:t>projekts)</w:t>
      </w:r>
    </w:p>
    <w:p w14:paraId="415202B2" w14:textId="7ACD4577" w:rsidR="00EB1AF1" w:rsidRPr="00B55597" w:rsidRDefault="00EB1AF1" w:rsidP="00685AE6">
      <w:pPr>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Pr="00EB1AF1">
        <w:rPr>
          <w:rFonts w:ascii="Times New Roman" w:hAnsi="Times New Roman" w:cs="Times New Roman"/>
          <w:bCs/>
          <w:sz w:val="24"/>
          <w:szCs w:val="24"/>
        </w:rPr>
        <w:t xml:space="preserve">Eiropas Parlamenta un Padomes </w:t>
      </w:r>
      <w:r w:rsidR="005F7A8B" w:rsidRPr="005F7A8B">
        <w:rPr>
          <w:rFonts w:ascii="Times New Roman" w:hAnsi="Times New Roman" w:cs="Times New Roman"/>
          <w:bCs/>
          <w:sz w:val="24"/>
          <w:szCs w:val="24"/>
        </w:rPr>
        <w:t>2019.</w:t>
      </w:r>
      <w:r w:rsidR="00BA2695">
        <w:rPr>
          <w:rFonts w:ascii="Times New Roman" w:hAnsi="Times New Roman" w:cs="Times New Roman"/>
          <w:bCs/>
          <w:sz w:val="24"/>
          <w:szCs w:val="24"/>
        </w:rPr>
        <w:t> </w:t>
      </w:r>
      <w:r w:rsidR="005F7A8B" w:rsidRPr="005F7A8B">
        <w:rPr>
          <w:rFonts w:ascii="Times New Roman" w:hAnsi="Times New Roman" w:cs="Times New Roman"/>
          <w:bCs/>
          <w:sz w:val="24"/>
          <w:szCs w:val="24"/>
        </w:rPr>
        <w:t>gada 27. novembra</w:t>
      </w:r>
      <w:r w:rsidR="005F7A8B">
        <w:rPr>
          <w:rFonts w:ascii="Times New Roman" w:hAnsi="Times New Roman" w:cs="Times New Roman"/>
          <w:bCs/>
          <w:sz w:val="24"/>
          <w:szCs w:val="24"/>
        </w:rPr>
        <w:t xml:space="preserve"> </w:t>
      </w:r>
      <w:r w:rsidR="00BA2695">
        <w:rPr>
          <w:rFonts w:ascii="Times New Roman" w:hAnsi="Times New Roman" w:cs="Times New Roman"/>
          <w:bCs/>
          <w:sz w:val="24"/>
          <w:szCs w:val="24"/>
        </w:rPr>
        <w:t>d</w:t>
      </w:r>
      <w:r w:rsidR="005F7A8B">
        <w:rPr>
          <w:rFonts w:ascii="Times New Roman" w:hAnsi="Times New Roman" w:cs="Times New Roman"/>
          <w:bCs/>
          <w:sz w:val="24"/>
          <w:szCs w:val="24"/>
        </w:rPr>
        <w:t>irektīva</w:t>
      </w:r>
      <w:r w:rsidR="005F7A8B">
        <w:rPr>
          <w:rFonts w:ascii="Roboto" w:hAnsi="Roboto"/>
          <w:b/>
          <w:bCs/>
          <w:color w:val="333333"/>
          <w:sz w:val="21"/>
          <w:szCs w:val="21"/>
          <w:shd w:val="clear" w:color="auto" w:fill="FFFFFF"/>
        </w:rPr>
        <w:t xml:space="preserve"> </w:t>
      </w:r>
      <w:r w:rsidR="005F7A8B" w:rsidRPr="005F7A8B">
        <w:rPr>
          <w:rFonts w:ascii="Times New Roman" w:hAnsi="Times New Roman" w:cs="Times New Roman"/>
          <w:bCs/>
          <w:sz w:val="24"/>
          <w:szCs w:val="24"/>
        </w:rPr>
        <w:t>(ES)</w:t>
      </w:r>
      <w:r w:rsidR="00BA2695">
        <w:rPr>
          <w:rFonts w:ascii="Times New Roman" w:hAnsi="Times New Roman" w:cs="Times New Roman"/>
          <w:bCs/>
          <w:sz w:val="24"/>
          <w:szCs w:val="24"/>
        </w:rPr>
        <w:t> </w:t>
      </w:r>
      <w:r w:rsidR="005F7A8B" w:rsidRPr="005F7A8B">
        <w:rPr>
          <w:rFonts w:ascii="Times New Roman" w:hAnsi="Times New Roman" w:cs="Times New Roman"/>
          <w:bCs/>
          <w:sz w:val="24"/>
          <w:szCs w:val="24"/>
        </w:rPr>
        <w:t xml:space="preserve">2019/2034 par ieguldījumu brokeru sabiedrību prudenciālo uzraudzību un ar ko groza </w:t>
      </w:r>
      <w:r w:rsidR="00BA2695">
        <w:rPr>
          <w:rFonts w:ascii="Times New Roman" w:hAnsi="Times New Roman" w:cs="Times New Roman"/>
          <w:bCs/>
          <w:sz w:val="24"/>
          <w:szCs w:val="24"/>
        </w:rPr>
        <w:t>d</w:t>
      </w:r>
      <w:r w:rsidR="005F7A8B" w:rsidRPr="005F7A8B">
        <w:rPr>
          <w:rFonts w:ascii="Times New Roman" w:hAnsi="Times New Roman" w:cs="Times New Roman"/>
          <w:bCs/>
          <w:sz w:val="24"/>
          <w:szCs w:val="24"/>
        </w:rPr>
        <w:t>irektīvas</w:t>
      </w:r>
      <w:r w:rsidR="002C2396">
        <w:rPr>
          <w:rFonts w:ascii="Times New Roman" w:hAnsi="Times New Roman" w:cs="Times New Roman"/>
          <w:bCs/>
          <w:sz w:val="24"/>
          <w:szCs w:val="24"/>
        </w:rPr>
        <w:t> </w:t>
      </w:r>
      <w:r w:rsidR="005F7A8B" w:rsidRPr="005F7A8B">
        <w:rPr>
          <w:rFonts w:ascii="Times New Roman" w:hAnsi="Times New Roman" w:cs="Times New Roman"/>
          <w:bCs/>
          <w:sz w:val="24"/>
          <w:szCs w:val="24"/>
        </w:rPr>
        <w:t>2002/87/EK, 2009/65/EK, 2011/61/ES, 2013/36/ES, 2014/59/ES un 2014/65/ES</w:t>
      </w:r>
      <w:r w:rsidRPr="00EB1AF1">
        <w:rPr>
          <w:rFonts w:ascii="Times New Roman" w:hAnsi="Times New Roman" w:cs="Times New Roman"/>
          <w:bCs/>
          <w:sz w:val="24"/>
          <w:szCs w:val="24"/>
        </w:rPr>
        <w:t xml:space="preserve"> </w:t>
      </w:r>
      <w:r>
        <w:rPr>
          <w:rFonts w:ascii="Times New Roman" w:hAnsi="Times New Roman" w:cs="Times New Roman"/>
          <w:bCs/>
          <w:sz w:val="24"/>
          <w:szCs w:val="24"/>
        </w:rPr>
        <w:t>(</w:t>
      </w:r>
      <w:r w:rsidRPr="00384614">
        <w:rPr>
          <w:rFonts w:ascii="Times New Roman" w:hAnsi="Times New Roman" w:cs="Times New Roman"/>
          <w:bCs/>
          <w:sz w:val="24"/>
          <w:szCs w:val="24"/>
        </w:rPr>
        <w:t>turpmāk – Direktīva</w:t>
      </w:r>
      <w:r w:rsidR="002C2396">
        <w:rPr>
          <w:rFonts w:ascii="Times New Roman" w:hAnsi="Times New Roman" w:cs="Times New Roman"/>
          <w:bCs/>
          <w:sz w:val="24"/>
          <w:szCs w:val="24"/>
        </w:rPr>
        <w:t> </w:t>
      </w:r>
      <w:r w:rsidR="008A5DD6" w:rsidRPr="00384614">
        <w:rPr>
          <w:rFonts w:ascii="Times New Roman" w:hAnsi="Times New Roman" w:cs="Times New Roman"/>
          <w:bCs/>
          <w:sz w:val="24"/>
          <w:szCs w:val="24"/>
        </w:rPr>
        <w:t>2019/2034</w:t>
      </w:r>
      <w:r>
        <w:rPr>
          <w:rFonts w:ascii="Times New Roman" w:hAnsi="Times New Roman" w:cs="Times New Roman"/>
          <w:bCs/>
          <w:sz w:val="24"/>
          <w:szCs w:val="24"/>
        </w:rPr>
        <w:t>)</w:t>
      </w:r>
    </w:p>
    <w:tbl>
      <w:tblPr>
        <w:tblStyle w:val="TableGrid"/>
        <w:tblW w:w="14668" w:type="dxa"/>
        <w:tblLook w:val="04A0" w:firstRow="1" w:lastRow="0" w:firstColumn="1" w:lastColumn="0" w:noHBand="0" w:noVBand="1"/>
      </w:tblPr>
      <w:tblGrid>
        <w:gridCol w:w="3203"/>
        <w:gridCol w:w="2307"/>
        <w:gridCol w:w="2304"/>
        <w:gridCol w:w="2246"/>
        <w:gridCol w:w="2257"/>
        <w:gridCol w:w="2351"/>
      </w:tblGrid>
      <w:tr w:rsidR="00EB1AF1" w:rsidRPr="00AB380A" w14:paraId="59DE2DD1" w14:textId="77777777" w:rsidTr="00F63B81">
        <w:tc>
          <w:tcPr>
            <w:tcW w:w="3203" w:type="dxa"/>
          </w:tcPr>
          <w:p w14:paraId="023E3BA3" w14:textId="77777777" w:rsidR="00EB1AF1" w:rsidRPr="00503F80" w:rsidRDefault="00EB1AF1" w:rsidP="002C2396">
            <w:pPr>
              <w:jc w:val="cente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2307" w:type="dxa"/>
          </w:tcPr>
          <w:p w14:paraId="28828EF1" w14:textId="2FEECE88" w:rsidR="00EB1AF1" w:rsidRPr="00503F80" w:rsidRDefault="00EB1AF1" w:rsidP="002C2396">
            <w:pPr>
              <w:jc w:val="cente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rojekta punkts vai apakšpunkts, kas izpilda A ailē minēto prasību</w:t>
            </w:r>
          </w:p>
          <w:p w14:paraId="33B28C45" w14:textId="77777777" w:rsidR="00EB1AF1" w:rsidRPr="00503F80" w:rsidRDefault="00EB1AF1" w:rsidP="002C2396">
            <w:pPr>
              <w:jc w:val="cente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2304" w:type="dxa"/>
          </w:tcPr>
          <w:p w14:paraId="63BBFFF1" w14:textId="2252428C" w:rsidR="00EB1AF1" w:rsidRPr="00503F80" w:rsidRDefault="00EB1AF1" w:rsidP="002C2396">
            <w:pPr>
              <w:jc w:val="cente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002C2396">
              <w:rPr>
                <w:rFonts w:ascii="Times New Roman" w:hAnsi="Times New Roman" w:cs="Times New Roman"/>
                <w:b/>
                <w:bCs/>
                <w:sz w:val="24"/>
                <w:szCs w:val="24"/>
              </w:rPr>
              <w:t>n</w:t>
            </w:r>
            <w:r w:rsidRPr="00322957">
              <w:rPr>
                <w:rFonts w:ascii="Times New Roman" w:hAnsi="Times New Roman" w:cs="Times New Roman"/>
                <w:b/>
                <w:bCs/>
                <w:sz w:val="24"/>
                <w:szCs w:val="24"/>
              </w:rPr>
              <w:t>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projekta punktu vai apakšpunktu tiek izpildīta pilnībā vai daļēji?</w:t>
            </w:r>
          </w:p>
          <w:p w14:paraId="3E56A854" w14:textId="77777777" w:rsidR="00EB1AF1" w:rsidRPr="00503F80" w:rsidRDefault="00EB1AF1" w:rsidP="002C2396">
            <w:pPr>
              <w:jc w:val="center"/>
              <w:rPr>
                <w:rFonts w:ascii="Times New Roman" w:hAnsi="Times New Roman" w:cs="Times New Roman"/>
                <w:b/>
                <w:bCs/>
                <w:sz w:val="24"/>
                <w:szCs w:val="24"/>
              </w:rPr>
            </w:pPr>
            <w:r w:rsidRPr="00503F80">
              <w:rPr>
                <w:rFonts w:ascii="Times New Roman" w:hAnsi="Times New Roman" w:cs="Times New Roman"/>
                <w:i/>
                <w:iCs/>
                <w:sz w:val="24"/>
                <w:szCs w:val="24"/>
              </w:rPr>
              <w:t>(Ja daļēji, norāda, kur un kā ir vai tiks nodrošināta prasības pilnīga izpilde)</w:t>
            </w:r>
          </w:p>
        </w:tc>
        <w:tc>
          <w:tcPr>
            <w:tcW w:w="2246" w:type="dxa"/>
          </w:tcPr>
          <w:p w14:paraId="1D8467F3" w14:textId="34232444" w:rsidR="00EB1AF1" w:rsidRPr="00503F80" w:rsidRDefault="00EB1AF1" w:rsidP="002C2396">
            <w:pPr>
              <w:jc w:val="center"/>
              <w:rPr>
                <w:rFonts w:ascii="Times New Roman" w:hAnsi="Times New Roman" w:cs="Times New Roman"/>
                <w:b/>
                <w:bCs/>
                <w:sz w:val="24"/>
                <w:szCs w:val="24"/>
              </w:rPr>
            </w:pPr>
            <w:r w:rsidRPr="00503F80">
              <w:rPr>
                <w:rFonts w:ascii="Times New Roman" w:hAnsi="Times New Roman" w:cs="Times New Roman"/>
                <w:b/>
                <w:bCs/>
                <w:sz w:val="24"/>
                <w:szCs w:val="24"/>
              </w:rPr>
              <w:t xml:space="preserve">Vai B ailē norādītais </w:t>
            </w:r>
            <w:r w:rsidR="002C2396">
              <w:rPr>
                <w:rFonts w:ascii="Times New Roman" w:hAnsi="Times New Roman" w:cs="Times New Roman"/>
                <w:b/>
                <w:bCs/>
                <w:sz w:val="24"/>
                <w:szCs w:val="24"/>
              </w:rPr>
              <w:t>n</w:t>
            </w:r>
            <w:r w:rsidRPr="00322957">
              <w:rPr>
                <w:rFonts w:ascii="Times New Roman" w:hAnsi="Times New Roman" w:cs="Times New Roman"/>
                <w:b/>
                <w:bCs/>
                <w:sz w:val="24"/>
                <w:szCs w:val="24"/>
              </w:rPr>
              <w:t>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projekta punkts vai apakšpunkts paredz stingrākas prasības nekā A ailē minētā prasība</w:t>
            </w:r>
            <w:r w:rsidR="002C2396">
              <w:rPr>
                <w:rFonts w:ascii="Times New Roman" w:hAnsi="Times New Roman" w:cs="Times New Roman"/>
                <w:b/>
                <w:bCs/>
                <w:sz w:val="24"/>
                <w:szCs w:val="24"/>
              </w:rPr>
              <w:t>?</w:t>
            </w:r>
          </w:p>
          <w:p w14:paraId="7B94890D" w14:textId="77777777" w:rsidR="00EB1AF1" w:rsidRPr="00503F80" w:rsidRDefault="00EB1AF1" w:rsidP="002C2396">
            <w:pPr>
              <w:jc w:val="center"/>
              <w:rPr>
                <w:rFonts w:ascii="Times New Roman" w:hAnsi="Times New Roman" w:cs="Times New Roman"/>
                <w:b/>
                <w:bCs/>
                <w:sz w:val="24"/>
                <w:szCs w:val="24"/>
              </w:rPr>
            </w:pPr>
            <w:r w:rsidRPr="00503F80">
              <w:rPr>
                <w:rFonts w:ascii="Times New Roman" w:hAnsi="Times New Roman" w:cs="Times New Roman"/>
                <w:i/>
                <w:iCs/>
                <w:sz w:val="24"/>
                <w:szCs w:val="24"/>
              </w:rPr>
              <w:t>(Ja paredz stingrākas prasības, norāda pamatojumu šādu stingrāku prasību nepieciešamībai)</w:t>
            </w:r>
          </w:p>
        </w:tc>
        <w:tc>
          <w:tcPr>
            <w:tcW w:w="2257" w:type="dxa"/>
          </w:tcPr>
          <w:p w14:paraId="0C5AA545" w14:textId="6F43833C" w:rsidR="00EB1AF1" w:rsidRPr="00503F80" w:rsidRDefault="00EB1AF1" w:rsidP="002C2396">
            <w:pPr>
              <w:jc w:val="center"/>
              <w:rPr>
                <w:rFonts w:ascii="Times New Roman" w:hAnsi="Times New Roman" w:cs="Times New Roman"/>
                <w:b/>
                <w:bCs/>
                <w:sz w:val="24"/>
                <w:szCs w:val="24"/>
              </w:rPr>
            </w:pPr>
            <w:r w:rsidRPr="00503F80">
              <w:rPr>
                <w:rFonts w:ascii="Times New Roman" w:hAnsi="Times New Roman" w:cs="Times New Roman"/>
                <w:b/>
                <w:bCs/>
                <w:sz w:val="24"/>
                <w:szCs w:val="24"/>
              </w:rPr>
              <w:t>Vai A ailē minētā prasība ir jāizpilda obligāti?</w:t>
            </w:r>
          </w:p>
          <w:p w14:paraId="0C831120" w14:textId="77777777" w:rsidR="00EB1AF1" w:rsidRPr="00503F80" w:rsidRDefault="00EB1AF1" w:rsidP="002C2396">
            <w:pPr>
              <w:jc w:val="center"/>
              <w:rPr>
                <w:rFonts w:ascii="Times New Roman" w:hAnsi="Times New Roman" w:cs="Times New Roman"/>
                <w:i/>
                <w:iCs/>
                <w:sz w:val="24"/>
                <w:szCs w:val="24"/>
              </w:rPr>
            </w:pPr>
            <w:r w:rsidRPr="00503F80">
              <w:rPr>
                <w:rFonts w:ascii="Times New Roman" w:hAnsi="Times New Roman" w:cs="Times New Roman"/>
                <w:i/>
                <w:iCs/>
                <w:sz w:val="24"/>
                <w:szCs w:val="24"/>
              </w:rPr>
              <w:t>(Ja Eiropas Savienības tiesību akts paredz izvēles iespēju, norāda, vai un kādēļ šī rīcības brīvība Latvijā ir vai nav jāizmanto)</w:t>
            </w:r>
          </w:p>
          <w:p w14:paraId="1B34AFED" w14:textId="77777777" w:rsidR="00EB1AF1" w:rsidRPr="00503F80" w:rsidRDefault="00EB1AF1" w:rsidP="002C2396">
            <w:pPr>
              <w:jc w:val="center"/>
              <w:rPr>
                <w:rFonts w:ascii="Times New Roman" w:hAnsi="Times New Roman" w:cs="Times New Roman"/>
                <w:b/>
                <w:bCs/>
                <w:sz w:val="24"/>
                <w:szCs w:val="24"/>
              </w:rPr>
            </w:pPr>
          </w:p>
          <w:p w14:paraId="4F4DCC85" w14:textId="77777777" w:rsidR="00EB1AF1" w:rsidRPr="00503F80" w:rsidRDefault="00EB1AF1" w:rsidP="002C2396">
            <w:pPr>
              <w:jc w:val="center"/>
              <w:rPr>
                <w:rFonts w:ascii="Times New Roman" w:hAnsi="Times New Roman" w:cs="Times New Roman"/>
                <w:b/>
                <w:bCs/>
                <w:sz w:val="24"/>
                <w:szCs w:val="24"/>
              </w:rPr>
            </w:pPr>
          </w:p>
        </w:tc>
        <w:tc>
          <w:tcPr>
            <w:tcW w:w="2351" w:type="dxa"/>
          </w:tcPr>
          <w:p w14:paraId="76ABF7B5" w14:textId="77777777" w:rsidR="00EB1AF1" w:rsidRPr="00503F80" w:rsidRDefault="00EB1AF1" w:rsidP="002C2396">
            <w:pPr>
              <w:jc w:val="center"/>
              <w:rPr>
                <w:rStyle w:val="cf01"/>
                <w:rFonts w:ascii="Times New Roman" w:hAnsi="Times New Roman" w:cs="Times New Roman"/>
                <w:b/>
                <w:bCs/>
                <w:color w:val="auto"/>
                <w:sz w:val="24"/>
                <w:szCs w:val="24"/>
              </w:rPr>
            </w:pPr>
            <w:r w:rsidRPr="00503F80">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3E4AE273" w14:textId="77777777" w:rsidR="00EB1AF1" w:rsidRPr="00503F80" w:rsidRDefault="00EB1AF1" w:rsidP="002C2396">
            <w:pPr>
              <w:jc w:val="center"/>
              <w:rPr>
                <w:rFonts w:ascii="Times New Roman" w:hAnsi="Times New Roman" w:cs="Times New Roman"/>
                <w:b/>
                <w:bCs/>
                <w:sz w:val="24"/>
                <w:szCs w:val="24"/>
              </w:rPr>
            </w:pPr>
            <w:r w:rsidRPr="00503F80">
              <w:rPr>
                <w:rStyle w:val="cf01"/>
                <w:rFonts w:ascii="Times New Roman" w:hAnsi="Times New Roman" w:cs="Times New Roman"/>
                <w:i/>
                <w:iCs/>
                <w:color w:val="auto"/>
                <w:sz w:val="24"/>
                <w:szCs w:val="24"/>
              </w:rPr>
              <w:t>(Ja paredz, norāda, kas un kādā termiņā šo paziņošanas pienākumu izpildīs)</w:t>
            </w:r>
          </w:p>
        </w:tc>
      </w:tr>
      <w:tr w:rsidR="00EB1AF1" w:rsidRPr="00AB380A" w14:paraId="5D63A149" w14:textId="77777777" w:rsidTr="00F63B81">
        <w:tc>
          <w:tcPr>
            <w:tcW w:w="3203" w:type="dxa"/>
          </w:tcPr>
          <w:p w14:paraId="3B90952D"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2307" w:type="dxa"/>
          </w:tcPr>
          <w:p w14:paraId="34B7A88E"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304" w:type="dxa"/>
          </w:tcPr>
          <w:p w14:paraId="04CA14D3"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246" w:type="dxa"/>
          </w:tcPr>
          <w:p w14:paraId="578D8FD5"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257" w:type="dxa"/>
          </w:tcPr>
          <w:p w14:paraId="6CD3CC85"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351" w:type="dxa"/>
          </w:tcPr>
          <w:p w14:paraId="145A0AF9"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27183C" w:rsidRPr="0027183C" w14:paraId="5BA7B81E" w14:textId="77777777" w:rsidTr="00F63B81">
        <w:tc>
          <w:tcPr>
            <w:tcW w:w="3203" w:type="dxa"/>
          </w:tcPr>
          <w:p w14:paraId="06B23999" w14:textId="57F27476" w:rsidR="0027183C" w:rsidRPr="00BA2695" w:rsidRDefault="002C2396" w:rsidP="006E1FF9">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30. panta 1. punkt</w:t>
            </w:r>
            <w:r w:rsidR="00A3030C">
              <w:rPr>
                <w:rFonts w:ascii="Times New Roman" w:hAnsi="Times New Roman" w:cs="Times New Roman"/>
                <w:sz w:val="24"/>
                <w:szCs w:val="24"/>
              </w:rPr>
              <w:t>a ievaddaļa</w:t>
            </w:r>
          </w:p>
        </w:tc>
        <w:tc>
          <w:tcPr>
            <w:tcW w:w="2307" w:type="dxa"/>
          </w:tcPr>
          <w:p w14:paraId="7E5852D5" w14:textId="3508DBA5" w:rsidR="0027183C" w:rsidRPr="00BA2695" w:rsidRDefault="0027183C" w:rsidP="006E1FF9">
            <w:pPr>
              <w:rPr>
                <w:rFonts w:ascii="Times New Roman" w:hAnsi="Times New Roman" w:cs="Times New Roman"/>
                <w:sz w:val="24"/>
                <w:szCs w:val="24"/>
              </w:rPr>
            </w:pPr>
            <w:r w:rsidRPr="00685AE6">
              <w:rPr>
                <w:rFonts w:ascii="Times New Roman" w:hAnsi="Times New Roman" w:cs="Times New Roman"/>
                <w:sz w:val="24"/>
                <w:szCs w:val="24"/>
              </w:rPr>
              <w:t xml:space="preserve">Noteikumu projekta </w:t>
            </w:r>
            <w:r w:rsidR="001964C0">
              <w:rPr>
                <w:rFonts w:ascii="Times New Roman" w:hAnsi="Times New Roman" w:cs="Times New Roman"/>
                <w:sz w:val="24"/>
                <w:szCs w:val="24"/>
              </w:rPr>
              <w:t>3</w:t>
            </w:r>
            <w:r w:rsidRPr="00BA2695">
              <w:rPr>
                <w:rFonts w:ascii="Times New Roman" w:hAnsi="Times New Roman" w:cs="Times New Roman"/>
                <w:sz w:val="24"/>
                <w:szCs w:val="24"/>
              </w:rPr>
              <w:t>.</w:t>
            </w:r>
            <w:r w:rsidR="000C5C68">
              <w:rPr>
                <w:rFonts w:ascii="Times New Roman" w:hAnsi="Times New Roman" w:cs="Times New Roman"/>
                <w:sz w:val="24"/>
                <w:szCs w:val="24"/>
              </w:rPr>
              <w:t> punkts</w:t>
            </w:r>
            <w:r w:rsidRPr="00BA2695">
              <w:rPr>
                <w:rFonts w:ascii="Times New Roman" w:hAnsi="Times New Roman" w:cs="Times New Roman"/>
                <w:sz w:val="24"/>
                <w:szCs w:val="24"/>
              </w:rPr>
              <w:t xml:space="preserve"> un </w:t>
            </w:r>
            <w:r w:rsidR="001964C0">
              <w:rPr>
                <w:rFonts w:ascii="Times New Roman" w:hAnsi="Times New Roman" w:cs="Times New Roman"/>
                <w:sz w:val="24"/>
                <w:szCs w:val="24"/>
              </w:rPr>
              <w:t>6</w:t>
            </w:r>
            <w:r w:rsidRPr="00BA2695">
              <w:rPr>
                <w:rFonts w:ascii="Times New Roman" w:hAnsi="Times New Roman" w:cs="Times New Roman"/>
                <w:sz w:val="24"/>
                <w:szCs w:val="24"/>
              </w:rPr>
              <w:t>. punkt</w:t>
            </w:r>
            <w:r w:rsidR="00A40E00">
              <w:rPr>
                <w:rFonts w:ascii="Times New Roman" w:hAnsi="Times New Roman" w:cs="Times New Roman"/>
                <w:sz w:val="24"/>
                <w:szCs w:val="24"/>
              </w:rPr>
              <w:t>a ievaddaļa</w:t>
            </w:r>
          </w:p>
        </w:tc>
        <w:tc>
          <w:tcPr>
            <w:tcW w:w="2304" w:type="dxa"/>
          </w:tcPr>
          <w:p w14:paraId="1D6EB4AF" w14:textId="47C538F8"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3B16686E" w14:textId="7427563C"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65B1090B" w14:textId="24243B54"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val="restart"/>
          </w:tcPr>
          <w:p w14:paraId="2E3CFF34" w14:textId="124DDA44" w:rsidR="0027183C" w:rsidRPr="00685AE6" w:rsidRDefault="0027183C" w:rsidP="00DA3C81">
            <w:pPr>
              <w:rPr>
                <w:rFonts w:ascii="Times New Roman" w:hAnsi="Times New Roman" w:cs="Times New Roman"/>
                <w:color w:val="FF0000"/>
                <w:sz w:val="24"/>
                <w:szCs w:val="24"/>
              </w:rPr>
            </w:pPr>
            <w:r w:rsidRPr="00685AE6">
              <w:rPr>
                <w:rFonts w:ascii="Times New Roman" w:hAnsi="Times New Roman" w:cs="Times New Roman"/>
                <w:sz w:val="24"/>
                <w:szCs w:val="24"/>
              </w:rPr>
              <w:t>Direktīvas</w:t>
            </w:r>
            <w:r w:rsidR="002C2396">
              <w:rPr>
                <w:rFonts w:ascii="Times New Roman" w:hAnsi="Times New Roman" w:cs="Times New Roman"/>
                <w:sz w:val="24"/>
                <w:szCs w:val="24"/>
              </w:rPr>
              <w:t> </w:t>
            </w:r>
            <w:r w:rsidRPr="00685AE6">
              <w:rPr>
                <w:rFonts w:ascii="Times New Roman" w:hAnsi="Times New Roman" w:cs="Times New Roman"/>
                <w:bCs/>
                <w:sz w:val="24"/>
                <w:szCs w:val="24"/>
              </w:rPr>
              <w:t>2019/2034</w:t>
            </w:r>
            <w:r w:rsidRPr="00685AE6">
              <w:rPr>
                <w:rFonts w:ascii="Times New Roman" w:hAnsi="Times New Roman" w:cs="Times New Roman"/>
                <w:sz w:val="24"/>
                <w:szCs w:val="24"/>
              </w:rPr>
              <w:t xml:space="preserve"> 67. panta </w:t>
            </w:r>
            <w:r w:rsidR="00911F03">
              <w:rPr>
                <w:rFonts w:ascii="Times New Roman" w:hAnsi="Times New Roman" w:cs="Times New Roman"/>
                <w:sz w:val="24"/>
                <w:szCs w:val="24"/>
              </w:rPr>
              <w:t>3. punkts</w:t>
            </w:r>
            <w:r w:rsidRPr="00685AE6">
              <w:rPr>
                <w:rFonts w:ascii="Times New Roman" w:hAnsi="Times New Roman" w:cs="Times New Roman"/>
                <w:sz w:val="24"/>
                <w:szCs w:val="24"/>
              </w:rPr>
              <w:t xml:space="preserve"> paredz, ka dalībvalstis paziņo Eiropas Komisijai un Eiropas Banku iestādei par šīs direktīvas prasību pārņemšanu. Pēc Noteikumu projekta apstiprināšanas Latvijas Bankas padomē minēto paziņošanas pienākumu attiecībā uz Eiropas Komisiju izpildīs Finanšu ministrija, savukārt Eiropas Banku iestādei </w:t>
            </w:r>
            <w:r w:rsidR="00827CC2">
              <w:rPr>
                <w:rFonts w:ascii="Times New Roman" w:hAnsi="Times New Roman" w:cs="Times New Roman"/>
                <w:sz w:val="24"/>
                <w:szCs w:val="24"/>
              </w:rPr>
              <w:t>paziņos</w:t>
            </w:r>
            <w:r w:rsidR="00827CC2" w:rsidRPr="00685AE6">
              <w:rPr>
                <w:rFonts w:ascii="Times New Roman" w:hAnsi="Times New Roman" w:cs="Times New Roman"/>
                <w:sz w:val="24"/>
                <w:szCs w:val="24"/>
              </w:rPr>
              <w:t xml:space="preserve"> </w:t>
            </w:r>
            <w:r w:rsidRPr="00685AE6">
              <w:rPr>
                <w:rFonts w:ascii="Times New Roman" w:hAnsi="Times New Roman" w:cs="Times New Roman"/>
                <w:sz w:val="24"/>
                <w:szCs w:val="24"/>
              </w:rPr>
              <w:t>Latvijas Banka.</w:t>
            </w:r>
          </w:p>
          <w:p w14:paraId="53B4D6F8" w14:textId="542F4E9D" w:rsidR="0027183C" w:rsidRPr="00BA2695" w:rsidRDefault="0027183C" w:rsidP="006E1FF9">
            <w:pPr>
              <w:rPr>
                <w:rFonts w:ascii="Times New Roman" w:hAnsi="Times New Roman" w:cs="Times New Roman"/>
                <w:color w:val="FF0000"/>
                <w:sz w:val="24"/>
                <w:szCs w:val="24"/>
              </w:rPr>
            </w:pPr>
          </w:p>
        </w:tc>
      </w:tr>
      <w:tr w:rsidR="0027183C" w:rsidRPr="0027183C" w14:paraId="79B1AEB2" w14:textId="77777777" w:rsidTr="00F63B81">
        <w:tc>
          <w:tcPr>
            <w:tcW w:w="3203" w:type="dxa"/>
          </w:tcPr>
          <w:p w14:paraId="79065A15" w14:textId="64E9760C"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sidRPr="00685AE6">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 panta 1. punkta (a) apakšpunkts</w:t>
            </w:r>
          </w:p>
        </w:tc>
        <w:tc>
          <w:tcPr>
            <w:tcW w:w="2307" w:type="dxa"/>
          </w:tcPr>
          <w:p w14:paraId="03BACC39" w14:textId="119A17AD" w:rsidR="0027183C" w:rsidRPr="00BA2695" w:rsidRDefault="0027183C" w:rsidP="006E1FF9">
            <w:pPr>
              <w:rPr>
                <w:rFonts w:ascii="Times New Roman" w:hAnsi="Times New Roman" w:cs="Times New Roman"/>
                <w:sz w:val="24"/>
                <w:szCs w:val="24"/>
              </w:rPr>
            </w:pPr>
            <w:r w:rsidRPr="00685AE6">
              <w:rPr>
                <w:rFonts w:ascii="Times New Roman" w:hAnsi="Times New Roman" w:cs="Times New Roman"/>
                <w:sz w:val="24"/>
                <w:szCs w:val="24"/>
              </w:rPr>
              <w:t xml:space="preserve">Noteikumu projekta </w:t>
            </w:r>
            <w:r w:rsidR="001964C0">
              <w:rPr>
                <w:rFonts w:ascii="Times New Roman" w:hAnsi="Times New Roman" w:cs="Times New Roman"/>
                <w:sz w:val="24"/>
                <w:szCs w:val="24"/>
              </w:rPr>
              <w:t>6</w:t>
            </w:r>
            <w:r w:rsidRPr="00BA2695">
              <w:rPr>
                <w:rFonts w:ascii="Times New Roman" w:hAnsi="Times New Roman" w:cs="Times New Roman"/>
                <w:sz w:val="24"/>
                <w:szCs w:val="24"/>
              </w:rPr>
              <w:t>.1. apakšpunkts</w:t>
            </w:r>
          </w:p>
        </w:tc>
        <w:tc>
          <w:tcPr>
            <w:tcW w:w="2304" w:type="dxa"/>
          </w:tcPr>
          <w:p w14:paraId="30394C19" w14:textId="520990DF"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21292710" w14:textId="5407924D"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42CC4B55" w14:textId="41848544"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3272D066" w14:textId="35E7B7A0" w:rsidR="0027183C" w:rsidRPr="00BA2695" w:rsidRDefault="0027183C" w:rsidP="006E1FF9">
            <w:pPr>
              <w:rPr>
                <w:rFonts w:ascii="Times New Roman" w:hAnsi="Times New Roman" w:cs="Times New Roman"/>
                <w:color w:val="FF0000"/>
                <w:sz w:val="24"/>
                <w:szCs w:val="24"/>
              </w:rPr>
            </w:pPr>
          </w:p>
        </w:tc>
      </w:tr>
      <w:tr w:rsidR="0027183C" w:rsidRPr="0027183C" w14:paraId="322839D1" w14:textId="77777777" w:rsidTr="00F63B81">
        <w:tc>
          <w:tcPr>
            <w:tcW w:w="3203" w:type="dxa"/>
          </w:tcPr>
          <w:p w14:paraId="72507391" w14:textId="3EC3DB33"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sidRPr="000D1ADA">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 panta 1. punkta (b) apakšpunkts</w:t>
            </w:r>
          </w:p>
        </w:tc>
        <w:tc>
          <w:tcPr>
            <w:tcW w:w="2307" w:type="dxa"/>
          </w:tcPr>
          <w:p w14:paraId="136E882D" w14:textId="734E2002" w:rsidR="0027183C" w:rsidRPr="00BA2695" w:rsidRDefault="0027183C" w:rsidP="006E1FF9">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6</w:t>
            </w:r>
            <w:r w:rsidRPr="00BA2695">
              <w:rPr>
                <w:rFonts w:ascii="Times New Roman" w:hAnsi="Times New Roman" w:cs="Times New Roman"/>
                <w:sz w:val="24"/>
                <w:szCs w:val="24"/>
              </w:rPr>
              <w:t>.2.</w:t>
            </w:r>
            <w:r>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126ADBA0" w14:textId="15DACC67"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28784239" w14:textId="05E04B09"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289147EB" w14:textId="08AB53EB"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6880D996" w14:textId="157C3FC2" w:rsidR="0027183C" w:rsidRPr="00BA2695" w:rsidRDefault="0027183C" w:rsidP="006E1FF9">
            <w:pPr>
              <w:rPr>
                <w:rFonts w:ascii="Times New Roman" w:hAnsi="Times New Roman" w:cs="Times New Roman"/>
                <w:color w:val="FF0000"/>
                <w:sz w:val="24"/>
                <w:szCs w:val="24"/>
              </w:rPr>
            </w:pPr>
          </w:p>
        </w:tc>
      </w:tr>
      <w:tr w:rsidR="0027183C" w:rsidRPr="0027183C" w14:paraId="24F56777" w14:textId="77777777" w:rsidTr="00F63B81">
        <w:tc>
          <w:tcPr>
            <w:tcW w:w="3203" w:type="dxa"/>
          </w:tcPr>
          <w:p w14:paraId="4C3ED719" w14:textId="3F04BFDC"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1.</w:t>
            </w:r>
            <w:r>
              <w:rPr>
                <w:rFonts w:ascii="Times New Roman" w:hAnsi="Times New Roman" w:cs="Times New Roman"/>
                <w:sz w:val="24"/>
                <w:szCs w:val="24"/>
              </w:rPr>
              <w:t> </w:t>
            </w:r>
            <w:r w:rsidRPr="00BA2695">
              <w:rPr>
                <w:rFonts w:ascii="Times New Roman" w:hAnsi="Times New Roman" w:cs="Times New Roman"/>
                <w:sz w:val="24"/>
                <w:szCs w:val="24"/>
              </w:rPr>
              <w:t>punkta (c) apakšpunkts</w:t>
            </w:r>
          </w:p>
        </w:tc>
        <w:tc>
          <w:tcPr>
            <w:tcW w:w="2307" w:type="dxa"/>
          </w:tcPr>
          <w:p w14:paraId="21CEC18F" w14:textId="7E66B6A7" w:rsidR="0027183C" w:rsidRPr="00BA2695" w:rsidRDefault="0027183C" w:rsidP="006E1FF9">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6</w:t>
            </w:r>
            <w:r w:rsidRPr="00BA2695">
              <w:rPr>
                <w:rFonts w:ascii="Times New Roman" w:hAnsi="Times New Roman" w:cs="Times New Roman"/>
                <w:sz w:val="24"/>
                <w:szCs w:val="24"/>
              </w:rPr>
              <w:t>.3.</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13E45EDF" w14:textId="5889F5D7"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3B185546" w14:textId="3FA92740"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2F8C241D" w14:textId="57539C8A"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2E524387" w14:textId="7F3E5F51" w:rsidR="0027183C" w:rsidRPr="00BA2695" w:rsidRDefault="0027183C" w:rsidP="006E1FF9">
            <w:pPr>
              <w:rPr>
                <w:rFonts w:ascii="Times New Roman" w:hAnsi="Times New Roman" w:cs="Times New Roman"/>
                <w:color w:val="FF0000"/>
                <w:sz w:val="24"/>
                <w:szCs w:val="24"/>
              </w:rPr>
            </w:pPr>
          </w:p>
        </w:tc>
      </w:tr>
      <w:tr w:rsidR="0027183C" w:rsidRPr="0027183C" w14:paraId="26652D57" w14:textId="77777777" w:rsidTr="00F63B81">
        <w:tc>
          <w:tcPr>
            <w:tcW w:w="3203" w:type="dxa"/>
          </w:tcPr>
          <w:p w14:paraId="02019939" w14:textId="43447D83"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1.</w:t>
            </w:r>
            <w:r>
              <w:rPr>
                <w:rFonts w:ascii="Times New Roman" w:hAnsi="Times New Roman" w:cs="Times New Roman"/>
                <w:sz w:val="24"/>
                <w:szCs w:val="24"/>
              </w:rPr>
              <w:t> </w:t>
            </w:r>
            <w:r w:rsidRPr="00BA2695">
              <w:rPr>
                <w:rFonts w:ascii="Times New Roman" w:hAnsi="Times New Roman" w:cs="Times New Roman"/>
                <w:sz w:val="24"/>
                <w:szCs w:val="24"/>
              </w:rPr>
              <w:t>punkta (d) apakšpunkts</w:t>
            </w:r>
          </w:p>
        </w:tc>
        <w:tc>
          <w:tcPr>
            <w:tcW w:w="2307" w:type="dxa"/>
          </w:tcPr>
          <w:p w14:paraId="125FDD60" w14:textId="5B23A3F0" w:rsidR="0027183C" w:rsidRPr="00BA2695" w:rsidRDefault="0027183C" w:rsidP="006E1FF9">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6</w:t>
            </w:r>
            <w:r w:rsidRPr="00BA2695">
              <w:rPr>
                <w:rFonts w:ascii="Times New Roman" w:hAnsi="Times New Roman" w:cs="Times New Roman"/>
                <w:sz w:val="24"/>
                <w:szCs w:val="24"/>
              </w:rPr>
              <w:t>.</w:t>
            </w:r>
            <w:r w:rsidR="003D195A">
              <w:rPr>
                <w:rFonts w:ascii="Times New Roman" w:hAnsi="Times New Roman" w:cs="Times New Roman"/>
                <w:sz w:val="24"/>
                <w:szCs w:val="24"/>
              </w:rPr>
              <w:t>4</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02BC722A" w14:textId="4DD521D5"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127467EA" w14:textId="047FB9D4"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16C32765" w14:textId="3308BE80"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57CB1EB0" w14:textId="16DB983F" w:rsidR="0027183C" w:rsidRPr="00BA2695" w:rsidRDefault="0027183C" w:rsidP="006E1FF9">
            <w:pPr>
              <w:rPr>
                <w:rFonts w:ascii="Times New Roman" w:hAnsi="Times New Roman" w:cs="Times New Roman"/>
                <w:color w:val="FF0000"/>
                <w:sz w:val="24"/>
                <w:szCs w:val="24"/>
              </w:rPr>
            </w:pPr>
          </w:p>
        </w:tc>
      </w:tr>
      <w:tr w:rsidR="0027183C" w:rsidRPr="0027183C" w14:paraId="099F74F7" w14:textId="77777777" w:rsidTr="00F63B81">
        <w:tc>
          <w:tcPr>
            <w:tcW w:w="3203" w:type="dxa"/>
          </w:tcPr>
          <w:p w14:paraId="12892F8F" w14:textId="6ED043E3"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1.</w:t>
            </w:r>
            <w:r>
              <w:rPr>
                <w:rFonts w:ascii="Times New Roman" w:hAnsi="Times New Roman" w:cs="Times New Roman"/>
                <w:sz w:val="24"/>
                <w:szCs w:val="24"/>
              </w:rPr>
              <w:t> </w:t>
            </w:r>
            <w:r w:rsidRPr="00BA2695">
              <w:rPr>
                <w:rFonts w:ascii="Times New Roman" w:hAnsi="Times New Roman" w:cs="Times New Roman"/>
                <w:sz w:val="24"/>
                <w:szCs w:val="24"/>
              </w:rPr>
              <w:t>punkta (e) apakšpunkts</w:t>
            </w:r>
          </w:p>
        </w:tc>
        <w:tc>
          <w:tcPr>
            <w:tcW w:w="2307" w:type="dxa"/>
          </w:tcPr>
          <w:p w14:paraId="33F24955" w14:textId="05496142" w:rsidR="0027183C" w:rsidRPr="00BA2695" w:rsidRDefault="0027183C" w:rsidP="006E1FF9">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6</w:t>
            </w:r>
            <w:r w:rsidRPr="00BA2695">
              <w:rPr>
                <w:rFonts w:ascii="Times New Roman" w:hAnsi="Times New Roman" w:cs="Times New Roman"/>
                <w:sz w:val="24"/>
                <w:szCs w:val="24"/>
              </w:rPr>
              <w:t>.</w:t>
            </w:r>
            <w:r w:rsidR="003D195A">
              <w:rPr>
                <w:rFonts w:ascii="Times New Roman" w:hAnsi="Times New Roman" w:cs="Times New Roman"/>
                <w:sz w:val="24"/>
                <w:szCs w:val="24"/>
              </w:rPr>
              <w:t>5</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70F4072F" w14:textId="24A95A62"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5CC496F3" w14:textId="0FFD1C59"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7CDFD24C" w14:textId="7C354564"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3193AEA3" w14:textId="016C5912" w:rsidR="0027183C" w:rsidRPr="00BA2695" w:rsidRDefault="0027183C" w:rsidP="006E1FF9">
            <w:pPr>
              <w:rPr>
                <w:rFonts w:ascii="Times New Roman" w:hAnsi="Times New Roman" w:cs="Times New Roman"/>
                <w:color w:val="FF0000"/>
                <w:sz w:val="24"/>
                <w:szCs w:val="24"/>
              </w:rPr>
            </w:pPr>
          </w:p>
        </w:tc>
      </w:tr>
      <w:tr w:rsidR="0027183C" w:rsidRPr="0027183C" w14:paraId="1355A2DA" w14:textId="77777777" w:rsidTr="00F63B81">
        <w:tc>
          <w:tcPr>
            <w:tcW w:w="3203" w:type="dxa"/>
          </w:tcPr>
          <w:p w14:paraId="3C5AA301" w14:textId="31ACB076"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1.</w:t>
            </w:r>
            <w:r>
              <w:rPr>
                <w:rFonts w:ascii="Times New Roman" w:hAnsi="Times New Roman" w:cs="Times New Roman"/>
                <w:sz w:val="24"/>
                <w:szCs w:val="24"/>
              </w:rPr>
              <w:t> </w:t>
            </w:r>
            <w:r w:rsidRPr="00BA2695">
              <w:rPr>
                <w:rFonts w:ascii="Times New Roman" w:hAnsi="Times New Roman" w:cs="Times New Roman"/>
                <w:sz w:val="24"/>
                <w:szCs w:val="24"/>
              </w:rPr>
              <w:t>punkta (f) apakšpunkts</w:t>
            </w:r>
          </w:p>
        </w:tc>
        <w:tc>
          <w:tcPr>
            <w:tcW w:w="2307" w:type="dxa"/>
          </w:tcPr>
          <w:p w14:paraId="7C2C3D0B" w14:textId="3A866CAE" w:rsidR="0027183C" w:rsidRPr="00BA2695" w:rsidRDefault="0027183C" w:rsidP="006E1FF9">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1</w:t>
            </w:r>
            <w:r w:rsidR="001964C0">
              <w:rPr>
                <w:rFonts w:ascii="Times New Roman" w:hAnsi="Times New Roman" w:cs="Times New Roman"/>
                <w:sz w:val="24"/>
                <w:szCs w:val="24"/>
              </w:rPr>
              <w:t>2</w:t>
            </w:r>
            <w:r w:rsidRPr="00BA2695">
              <w:rPr>
                <w:rFonts w:ascii="Times New Roman" w:hAnsi="Times New Roman" w:cs="Times New Roman"/>
                <w:sz w:val="24"/>
                <w:szCs w:val="24"/>
              </w:rPr>
              <w:t>.1.</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482ECD7A" w14:textId="188A1E9D"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468D8C2C" w14:textId="05C5289B"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3F475F6F" w14:textId="77B3854B"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3024EAEF" w14:textId="34A1B326" w:rsidR="0027183C" w:rsidRPr="00BA2695" w:rsidRDefault="0027183C" w:rsidP="006E1FF9">
            <w:pPr>
              <w:rPr>
                <w:rFonts w:ascii="Times New Roman" w:hAnsi="Times New Roman" w:cs="Times New Roman"/>
                <w:color w:val="FF0000"/>
                <w:sz w:val="24"/>
                <w:szCs w:val="24"/>
              </w:rPr>
            </w:pPr>
          </w:p>
        </w:tc>
      </w:tr>
      <w:tr w:rsidR="0027183C" w:rsidRPr="0027183C" w14:paraId="0986A0A2" w14:textId="77777777" w:rsidTr="00F63B81">
        <w:tc>
          <w:tcPr>
            <w:tcW w:w="3203" w:type="dxa"/>
          </w:tcPr>
          <w:p w14:paraId="5755385F" w14:textId="4A3DBD36"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Cs/>
                <w:sz w:val="24"/>
                <w:szCs w:val="24"/>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1.</w:t>
            </w:r>
            <w:r>
              <w:rPr>
                <w:rFonts w:ascii="Times New Roman" w:hAnsi="Times New Roman" w:cs="Times New Roman"/>
                <w:sz w:val="24"/>
                <w:szCs w:val="24"/>
              </w:rPr>
              <w:t> </w:t>
            </w:r>
            <w:r w:rsidRPr="00BA2695">
              <w:rPr>
                <w:rFonts w:ascii="Times New Roman" w:hAnsi="Times New Roman" w:cs="Times New Roman"/>
                <w:sz w:val="24"/>
                <w:szCs w:val="24"/>
              </w:rPr>
              <w:t>punkta (g) apakšpunkts</w:t>
            </w:r>
          </w:p>
        </w:tc>
        <w:tc>
          <w:tcPr>
            <w:tcW w:w="2307" w:type="dxa"/>
          </w:tcPr>
          <w:p w14:paraId="7B6070AC" w14:textId="44BA332C" w:rsidR="0027183C" w:rsidRPr="00BA2695" w:rsidRDefault="0027183C" w:rsidP="006E1FF9">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6</w:t>
            </w:r>
            <w:r w:rsidRPr="00BA2695">
              <w:rPr>
                <w:rFonts w:ascii="Times New Roman" w:hAnsi="Times New Roman" w:cs="Times New Roman"/>
                <w:sz w:val="24"/>
                <w:szCs w:val="24"/>
              </w:rPr>
              <w:t>.</w:t>
            </w:r>
            <w:r w:rsidR="003D195A" w:rsidRPr="00BA2695">
              <w:rPr>
                <w:rFonts w:ascii="Times New Roman" w:hAnsi="Times New Roman" w:cs="Times New Roman"/>
                <w:sz w:val="24"/>
                <w:szCs w:val="24"/>
              </w:rPr>
              <w:t>1</w:t>
            </w:r>
            <w:r w:rsidR="003D195A">
              <w:rPr>
                <w:rFonts w:ascii="Times New Roman" w:hAnsi="Times New Roman" w:cs="Times New Roman"/>
                <w:sz w:val="24"/>
                <w:szCs w:val="24"/>
              </w:rPr>
              <w:t>0</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3DCF605C" w14:textId="1C94F3E3"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57B07639" w14:textId="195D0024"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27B44984" w14:textId="1FDB3328"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4A751A81" w14:textId="3A6287B5" w:rsidR="0027183C" w:rsidRPr="00BA2695" w:rsidRDefault="0027183C" w:rsidP="006E1FF9">
            <w:pPr>
              <w:rPr>
                <w:rFonts w:ascii="Times New Roman" w:hAnsi="Times New Roman" w:cs="Times New Roman"/>
                <w:color w:val="FF0000"/>
                <w:sz w:val="24"/>
                <w:szCs w:val="24"/>
              </w:rPr>
            </w:pPr>
          </w:p>
        </w:tc>
      </w:tr>
      <w:tr w:rsidR="0027183C" w:rsidRPr="0027183C" w14:paraId="56118394" w14:textId="77777777" w:rsidTr="00F63B81">
        <w:tc>
          <w:tcPr>
            <w:tcW w:w="3203" w:type="dxa"/>
          </w:tcPr>
          <w:p w14:paraId="7914D1EC" w14:textId="71F2101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1.</w:t>
            </w:r>
            <w:r>
              <w:rPr>
                <w:rFonts w:ascii="Times New Roman" w:hAnsi="Times New Roman" w:cs="Times New Roman"/>
                <w:sz w:val="24"/>
                <w:szCs w:val="24"/>
              </w:rPr>
              <w:t> </w:t>
            </w:r>
            <w:r w:rsidRPr="00BA2695">
              <w:rPr>
                <w:rFonts w:ascii="Times New Roman" w:hAnsi="Times New Roman" w:cs="Times New Roman"/>
                <w:sz w:val="24"/>
                <w:szCs w:val="24"/>
              </w:rPr>
              <w:t>punkta (h) apakšpunkts</w:t>
            </w:r>
          </w:p>
        </w:tc>
        <w:tc>
          <w:tcPr>
            <w:tcW w:w="2307" w:type="dxa"/>
          </w:tcPr>
          <w:p w14:paraId="2EC65222" w14:textId="59E314DD"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6</w:t>
            </w:r>
            <w:r w:rsidRPr="00BA2695">
              <w:rPr>
                <w:rFonts w:ascii="Times New Roman" w:hAnsi="Times New Roman" w:cs="Times New Roman"/>
                <w:sz w:val="24"/>
                <w:szCs w:val="24"/>
              </w:rPr>
              <w:t>.</w:t>
            </w:r>
            <w:r w:rsidR="003D195A">
              <w:rPr>
                <w:rFonts w:ascii="Times New Roman" w:hAnsi="Times New Roman" w:cs="Times New Roman"/>
                <w:sz w:val="24"/>
                <w:szCs w:val="24"/>
              </w:rPr>
              <w:t>9</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09499E86" w14:textId="33A7407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685328AF" w14:textId="3261A5D2"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594CAFA5" w14:textId="67233BC8"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6DFB2042" w14:textId="70FCF3FE" w:rsidR="0027183C" w:rsidRPr="00BA2695" w:rsidRDefault="0027183C" w:rsidP="005F319A">
            <w:pPr>
              <w:rPr>
                <w:rFonts w:ascii="Times New Roman" w:hAnsi="Times New Roman" w:cs="Times New Roman"/>
                <w:sz w:val="24"/>
                <w:szCs w:val="24"/>
              </w:rPr>
            </w:pPr>
          </w:p>
        </w:tc>
      </w:tr>
      <w:tr w:rsidR="0027183C" w:rsidRPr="0027183C" w14:paraId="72BC77BC" w14:textId="77777777" w:rsidTr="00F63B81">
        <w:tc>
          <w:tcPr>
            <w:tcW w:w="3203" w:type="dxa"/>
          </w:tcPr>
          <w:p w14:paraId="14CCA8BC" w14:textId="70B0197B"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1.</w:t>
            </w:r>
            <w:r>
              <w:rPr>
                <w:rFonts w:ascii="Times New Roman" w:hAnsi="Times New Roman" w:cs="Times New Roman"/>
                <w:sz w:val="24"/>
                <w:szCs w:val="24"/>
              </w:rPr>
              <w:t> </w:t>
            </w:r>
            <w:r w:rsidRPr="00BA2695">
              <w:rPr>
                <w:rFonts w:ascii="Times New Roman" w:hAnsi="Times New Roman" w:cs="Times New Roman"/>
                <w:sz w:val="24"/>
                <w:szCs w:val="24"/>
              </w:rPr>
              <w:t>punkta (i) apakšpunkts</w:t>
            </w:r>
          </w:p>
        </w:tc>
        <w:tc>
          <w:tcPr>
            <w:tcW w:w="2307" w:type="dxa"/>
          </w:tcPr>
          <w:p w14:paraId="0A71F03E" w14:textId="53F3A1D6"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1</w:t>
            </w:r>
            <w:r w:rsidR="001964C0">
              <w:rPr>
                <w:rFonts w:ascii="Times New Roman" w:hAnsi="Times New Roman" w:cs="Times New Roman"/>
                <w:sz w:val="24"/>
                <w:szCs w:val="24"/>
              </w:rPr>
              <w:t>2</w:t>
            </w:r>
            <w:r w:rsidRPr="00BA2695">
              <w:rPr>
                <w:rFonts w:ascii="Times New Roman" w:hAnsi="Times New Roman" w:cs="Times New Roman"/>
                <w:sz w:val="24"/>
                <w:szCs w:val="24"/>
              </w:rPr>
              <w:t>.3.</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501A39FD" w14:textId="5CBE157F"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192F72FB" w14:textId="034B9F61"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4C5AD961" w14:textId="072DF17B"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5452420B" w14:textId="33295980" w:rsidR="0027183C" w:rsidRPr="00BA2695" w:rsidRDefault="0027183C" w:rsidP="005F319A">
            <w:pPr>
              <w:rPr>
                <w:rFonts w:ascii="Times New Roman" w:hAnsi="Times New Roman" w:cs="Times New Roman"/>
                <w:sz w:val="24"/>
                <w:szCs w:val="24"/>
              </w:rPr>
            </w:pPr>
          </w:p>
        </w:tc>
      </w:tr>
      <w:tr w:rsidR="0027183C" w:rsidRPr="0027183C" w14:paraId="074098AA" w14:textId="77777777" w:rsidTr="00F63B81">
        <w:tc>
          <w:tcPr>
            <w:tcW w:w="3203" w:type="dxa"/>
          </w:tcPr>
          <w:p w14:paraId="78828F60" w14:textId="442AA743"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1.</w:t>
            </w:r>
            <w:r>
              <w:rPr>
                <w:rFonts w:ascii="Times New Roman" w:hAnsi="Times New Roman" w:cs="Times New Roman"/>
                <w:sz w:val="24"/>
                <w:szCs w:val="24"/>
              </w:rPr>
              <w:t> </w:t>
            </w:r>
            <w:r w:rsidRPr="00BA2695">
              <w:rPr>
                <w:rFonts w:ascii="Times New Roman" w:hAnsi="Times New Roman" w:cs="Times New Roman"/>
                <w:sz w:val="24"/>
                <w:szCs w:val="24"/>
              </w:rPr>
              <w:t>punkta (j) apakšpunkts</w:t>
            </w:r>
          </w:p>
        </w:tc>
        <w:tc>
          <w:tcPr>
            <w:tcW w:w="2307" w:type="dxa"/>
          </w:tcPr>
          <w:p w14:paraId="43C34F8F" w14:textId="68793DA4"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9</w:t>
            </w:r>
            <w:r w:rsidR="00F646FA" w:rsidRPr="00BA2695">
              <w:rPr>
                <w:rFonts w:ascii="Times New Roman" w:hAnsi="Times New Roman" w:cs="Times New Roman"/>
                <w:sz w:val="24"/>
                <w:szCs w:val="24"/>
              </w:rPr>
              <w:t>.</w:t>
            </w:r>
            <w:r w:rsidR="00F646FA">
              <w:rPr>
                <w:rFonts w:ascii="Times New Roman" w:hAnsi="Times New Roman" w:cs="Times New Roman"/>
                <w:sz w:val="24"/>
                <w:szCs w:val="24"/>
              </w:rPr>
              <w:t>5</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36CFFA31" w14:textId="7302EE52"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63BDEA16" w14:textId="527DC7F6"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07CA485B" w14:textId="3E6D0B33"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76466FEC" w14:textId="545B51A6" w:rsidR="0027183C" w:rsidRPr="00BA2695" w:rsidRDefault="0027183C" w:rsidP="005F319A">
            <w:pPr>
              <w:rPr>
                <w:rFonts w:ascii="Times New Roman" w:hAnsi="Times New Roman" w:cs="Times New Roman"/>
                <w:sz w:val="24"/>
                <w:szCs w:val="24"/>
              </w:rPr>
            </w:pPr>
          </w:p>
        </w:tc>
      </w:tr>
      <w:tr w:rsidR="0027183C" w:rsidRPr="0027183C" w14:paraId="376A9D42" w14:textId="77777777" w:rsidTr="00F63B81">
        <w:tc>
          <w:tcPr>
            <w:tcW w:w="3203" w:type="dxa"/>
          </w:tcPr>
          <w:p w14:paraId="0443C0FB" w14:textId="7554FA40"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1.</w:t>
            </w:r>
            <w:r>
              <w:rPr>
                <w:rFonts w:ascii="Times New Roman" w:hAnsi="Times New Roman" w:cs="Times New Roman"/>
                <w:sz w:val="24"/>
                <w:szCs w:val="24"/>
              </w:rPr>
              <w:t> </w:t>
            </w:r>
            <w:r w:rsidRPr="00BA2695">
              <w:rPr>
                <w:rFonts w:ascii="Times New Roman" w:hAnsi="Times New Roman" w:cs="Times New Roman"/>
                <w:sz w:val="24"/>
                <w:szCs w:val="24"/>
              </w:rPr>
              <w:t>punkta (k) apakšpunkts</w:t>
            </w:r>
          </w:p>
        </w:tc>
        <w:tc>
          <w:tcPr>
            <w:tcW w:w="2307" w:type="dxa"/>
          </w:tcPr>
          <w:p w14:paraId="364F166E" w14:textId="0E3E9ED0" w:rsidR="0027183C" w:rsidRPr="00BA2695" w:rsidRDefault="0027183C" w:rsidP="006E1FF9">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9</w:t>
            </w:r>
            <w:r w:rsidRPr="00BA2695">
              <w:rPr>
                <w:rFonts w:ascii="Times New Roman" w:hAnsi="Times New Roman" w:cs="Times New Roman"/>
                <w:sz w:val="24"/>
                <w:szCs w:val="24"/>
              </w:rPr>
              <w:t>.7.</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131C4B1D" w14:textId="72DF7190"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3F7A4026" w14:textId="01149681"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4FFBB683" w14:textId="0DDE89A4" w:rsidR="0027183C" w:rsidRPr="00BA2695" w:rsidRDefault="0027183C" w:rsidP="006E1FF9">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0695AF16" w14:textId="5D1626AB" w:rsidR="0027183C" w:rsidRPr="00BA2695" w:rsidRDefault="0027183C" w:rsidP="006E1FF9">
            <w:pPr>
              <w:rPr>
                <w:rFonts w:ascii="Times New Roman" w:hAnsi="Times New Roman" w:cs="Times New Roman"/>
                <w:color w:val="FF0000"/>
                <w:sz w:val="24"/>
                <w:szCs w:val="24"/>
              </w:rPr>
            </w:pPr>
          </w:p>
        </w:tc>
      </w:tr>
      <w:tr w:rsidR="0027183C" w:rsidRPr="0027183C" w14:paraId="4ADE27C6" w14:textId="77777777" w:rsidTr="00F63B81">
        <w:tc>
          <w:tcPr>
            <w:tcW w:w="3203" w:type="dxa"/>
          </w:tcPr>
          <w:p w14:paraId="6B28BFC3" w14:textId="2BB19F60"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Pr>
                <w:rFonts w:ascii="Times New Roman" w:hAnsi="Times New Roman" w:cs="Times New Roman"/>
                <w:sz w:val="24"/>
                <w:szCs w:val="24"/>
              </w:rPr>
              <w:t> </w:t>
            </w:r>
            <w:r w:rsidRPr="00BA2695">
              <w:rPr>
                <w:rFonts w:ascii="Times New Roman" w:hAnsi="Times New Roman" w:cs="Times New Roman"/>
                <w:sz w:val="24"/>
                <w:szCs w:val="24"/>
              </w:rPr>
              <w:t>panta 2.</w:t>
            </w:r>
            <w:r>
              <w:rPr>
                <w:rFonts w:ascii="Times New Roman" w:hAnsi="Times New Roman" w:cs="Times New Roman"/>
                <w:sz w:val="24"/>
                <w:szCs w:val="24"/>
              </w:rPr>
              <w:t> </w:t>
            </w:r>
            <w:r w:rsidRPr="00BA2695">
              <w:rPr>
                <w:rFonts w:ascii="Times New Roman" w:hAnsi="Times New Roman" w:cs="Times New Roman"/>
                <w:sz w:val="24"/>
                <w:szCs w:val="24"/>
              </w:rPr>
              <w:t>punkts</w:t>
            </w:r>
          </w:p>
        </w:tc>
        <w:tc>
          <w:tcPr>
            <w:tcW w:w="2307" w:type="dxa"/>
          </w:tcPr>
          <w:p w14:paraId="1551912E" w14:textId="49A8F9A4"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9</w:t>
            </w:r>
            <w:r w:rsidRPr="00BA2695">
              <w:rPr>
                <w:rFonts w:ascii="Times New Roman" w:hAnsi="Times New Roman" w:cs="Times New Roman"/>
                <w:sz w:val="24"/>
                <w:szCs w:val="24"/>
              </w:rPr>
              <w:t>.7.</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753B5691" w14:textId="3F3D8298"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0074F61C" w14:textId="35C7CC5F"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22124659" w14:textId="4CF83978"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32218453" w14:textId="35D6462A" w:rsidR="0027183C" w:rsidRPr="00BA2695" w:rsidRDefault="0027183C" w:rsidP="005F319A">
            <w:pPr>
              <w:rPr>
                <w:rFonts w:ascii="Times New Roman" w:hAnsi="Times New Roman" w:cs="Times New Roman"/>
                <w:sz w:val="24"/>
                <w:szCs w:val="24"/>
              </w:rPr>
            </w:pPr>
          </w:p>
        </w:tc>
      </w:tr>
      <w:tr w:rsidR="0027183C" w:rsidRPr="0027183C" w14:paraId="75B27E2C" w14:textId="77777777" w:rsidTr="00F63B81">
        <w:tc>
          <w:tcPr>
            <w:tcW w:w="3203" w:type="dxa"/>
          </w:tcPr>
          <w:p w14:paraId="101FC4A5" w14:textId="0C86B26E"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30.</w:t>
            </w:r>
            <w:r w:rsidR="00BA340F">
              <w:rPr>
                <w:rFonts w:ascii="Times New Roman" w:hAnsi="Times New Roman" w:cs="Times New Roman"/>
                <w:sz w:val="24"/>
                <w:szCs w:val="24"/>
              </w:rPr>
              <w:t> </w:t>
            </w:r>
            <w:r w:rsidRPr="00BA2695">
              <w:rPr>
                <w:rFonts w:ascii="Times New Roman" w:hAnsi="Times New Roman" w:cs="Times New Roman"/>
                <w:sz w:val="24"/>
                <w:szCs w:val="24"/>
              </w:rPr>
              <w:t>panta 3.</w:t>
            </w:r>
            <w:r w:rsidR="00BA340F">
              <w:rPr>
                <w:rFonts w:ascii="Times New Roman" w:hAnsi="Times New Roman" w:cs="Times New Roman"/>
                <w:sz w:val="24"/>
                <w:szCs w:val="24"/>
              </w:rPr>
              <w:t> </w:t>
            </w:r>
            <w:r w:rsidRPr="00BA2695">
              <w:rPr>
                <w:rFonts w:ascii="Times New Roman" w:hAnsi="Times New Roman" w:cs="Times New Roman"/>
                <w:sz w:val="24"/>
                <w:szCs w:val="24"/>
              </w:rPr>
              <w:t>punkts</w:t>
            </w:r>
          </w:p>
        </w:tc>
        <w:tc>
          <w:tcPr>
            <w:tcW w:w="2307" w:type="dxa"/>
          </w:tcPr>
          <w:p w14:paraId="2DC7B559" w14:textId="727DDA66"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6</w:t>
            </w:r>
            <w:r w:rsidRPr="00BA2695">
              <w:rPr>
                <w:rFonts w:ascii="Times New Roman" w:hAnsi="Times New Roman" w:cs="Times New Roman"/>
                <w:sz w:val="24"/>
                <w:szCs w:val="24"/>
              </w:rPr>
              <w:t>.1.</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6184F524" w14:textId="5182BA32"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44BD4FCD" w14:textId="1F2DF445"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2DAB50A1" w14:textId="4100C851"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2040EC35" w14:textId="784E7D24" w:rsidR="0027183C" w:rsidRPr="00BA2695" w:rsidRDefault="0027183C" w:rsidP="005F319A">
            <w:pPr>
              <w:rPr>
                <w:rFonts w:ascii="Times New Roman" w:hAnsi="Times New Roman" w:cs="Times New Roman"/>
                <w:color w:val="FF0000"/>
                <w:sz w:val="24"/>
                <w:szCs w:val="24"/>
              </w:rPr>
            </w:pPr>
          </w:p>
        </w:tc>
      </w:tr>
      <w:tr w:rsidR="0027183C" w:rsidRPr="0027183C" w14:paraId="65AE07E7" w14:textId="77777777" w:rsidTr="00F63B81">
        <w:tc>
          <w:tcPr>
            <w:tcW w:w="3203" w:type="dxa"/>
          </w:tcPr>
          <w:p w14:paraId="61628B6E" w14:textId="5E61D4EB"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sidR="00BA340F">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32.</w:t>
            </w:r>
            <w:r w:rsidR="00BA340F">
              <w:rPr>
                <w:rFonts w:ascii="Times New Roman" w:hAnsi="Times New Roman" w:cs="Times New Roman"/>
                <w:sz w:val="24"/>
                <w:szCs w:val="24"/>
              </w:rPr>
              <w:t> </w:t>
            </w:r>
            <w:r w:rsidRPr="00BA2695">
              <w:rPr>
                <w:rFonts w:ascii="Times New Roman" w:hAnsi="Times New Roman" w:cs="Times New Roman"/>
                <w:sz w:val="24"/>
                <w:szCs w:val="24"/>
              </w:rPr>
              <w:t>panta 1.</w:t>
            </w:r>
            <w:r w:rsidR="00BA340F">
              <w:rPr>
                <w:rFonts w:ascii="Times New Roman" w:hAnsi="Times New Roman" w:cs="Times New Roman"/>
                <w:sz w:val="24"/>
                <w:szCs w:val="24"/>
              </w:rPr>
              <w:t> </w:t>
            </w:r>
            <w:r w:rsidRPr="00BA2695">
              <w:rPr>
                <w:rFonts w:ascii="Times New Roman" w:hAnsi="Times New Roman" w:cs="Times New Roman"/>
                <w:sz w:val="24"/>
                <w:szCs w:val="24"/>
              </w:rPr>
              <w:t>punkta (a) apakšpunkts</w:t>
            </w:r>
          </w:p>
        </w:tc>
        <w:tc>
          <w:tcPr>
            <w:tcW w:w="2307" w:type="dxa"/>
          </w:tcPr>
          <w:p w14:paraId="1C8BE8BC" w14:textId="61306261"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2</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punkts</w:t>
            </w:r>
          </w:p>
        </w:tc>
        <w:tc>
          <w:tcPr>
            <w:tcW w:w="2304" w:type="dxa"/>
          </w:tcPr>
          <w:p w14:paraId="3E6C2BBF" w14:textId="04EE4215"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56D701BF" w14:textId="4369C325"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116AE18B" w14:textId="4B704007"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4C5B4D37" w14:textId="257084B5" w:rsidR="0027183C" w:rsidRPr="00BA2695" w:rsidRDefault="0027183C" w:rsidP="005F319A">
            <w:pPr>
              <w:rPr>
                <w:rFonts w:ascii="Times New Roman" w:hAnsi="Times New Roman" w:cs="Times New Roman"/>
                <w:color w:val="FF0000"/>
                <w:sz w:val="24"/>
                <w:szCs w:val="24"/>
              </w:rPr>
            </w:pPr>
          </w:p>
        </w:tc>
      </w:tr>
      <w:tr w:rsidR="0027183C" w:rsidRPr="0027183C" w14:paraId="0F1EFAF0" w14:textId="77777777" w:rsidTr="00F63B81">
        <w:tc>
          <w:tcPr>
            <w:tcW w:w="3203" w:type="dxa"/>
          </w:tcPr>
          <w:p w14:paraId="60720959" w14:textId="21E28212"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sidR="00BA340F">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32.</w:t>
            </w:r>
            <w:r w:rsidR="00BA340F">
              <w:rPr>
                <w:rFonts w:ascii="Times New Roman" w:hAnsi="Times New Roman" w:cs="Times New Roman"/>
                <w:sz w:val="24"/>
                <w:szCs w:val="24"/>
              </w:rPr>
              <w:t> </w:t>
            </w:r>
            <w:r w:rsidRPr="00BA2695">
              <w:rPr>
                <w:rFonts w:ascii="Times New Roman" w:hAnsi="Times New Roman" w:cs="Times New Roman"/>
                <w:sz w:val="24"/>
                <w:szCs w:val="24"/>
              </w:rPr>
              <w:t>panta 1.</w:t>
            </w:r>
            <w:r w:rsidR="00BA340F">
              <w:rPr>
                <w:rFonts w:ascii="Times New Roman" w:hAnsi="Times New Roman" w:cs="Times New Roman"/>
                <w:sz w:val="24"/>
                <w:szCs w:val="24"/>
              </w:rPr>
              <w:t> </w:t>
            </w:r>
            <w:r w:rsidRPr="00BA2695">
              <w:rPr>
                <w:rFonts w:ascii="Times New Roman" w:hAnsi="Times New Roman" w:cs="Times New Roman"/>
                <w:sz w:val="24"/>
                <w:szCs w:val="24"/>
              </w:rPr>
              <w:t>punkta (b) apakšpunkts</w:t>
            </w:r>
          </w:p>
        </w:tc>
        <w:tc>
          <w:tcPr>
            <w:tcW w:w="2307" w:type="dxa"/>
          </w:tcPr>
          <w:p w14:paraId="11DD92C5" w14:textId="183B0FAA"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1</w:t>
            </w:r>
            <w:r w:rsidR="001964C0">
              <w:rPr>
                <w:rFonts w:ascii="Times New Roman" w:hAnsi="Times New Roman" w:cs="Times New Roman"/>
                <w:sz w:val="24"/>
                <w:szCs w:val="24"/>
              </w:rPr>
              <w:t>6</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punkts</w:t>
            </w:r>
          </w:p>
        </w:tc>
        <w:tc>
          <w:tcPr>
            <w:tcW w:w="2304" w:type="dxa"/>
          </w:tcPr>
          <w:p w14:paraId="7C545792" w14:textId="01CF1D79"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4AB06B3B" w14:textId="01AA4FC0"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6D0EA58D" w14:textId="7DC23358"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65F1FA5F" w14:textId="689FEB7E" w:rsidR="0027183C" w:rsidRPr="00BA2695" w:rsidRDefault="0027183C" w:rsidP="005F319A">
            <w:pPr>
              <w:rPr>
                <w:rFonts w:ascii="Times New Roman" w:hAnsi="Times New Roman" w:cs="Times New Roman"/>
                <w:color w:val="FF0000"/>
                <w:sz w:val="24"/>
                <w:szCs w:val="24"/>
              </w:rPr>
            </w:pPr>
          </w:p>
        </w:tc>
      </w:tr>
      <w:tr w:rsidR="0027183C" w:rsidRPr="0027183C" w14:paraId="6F624788" w14:textId="77777777" w:rsidTr="00F63B81">
        <w:tc>
          <w:tcPr>
            <w:tcW w:w="3203" w:type="dxa"/>
          </w:tcPr>
          <w:p w14:paraId="328D764C" w14:textId="0EF144B8"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sidR="002C2396">
              <w:rPr>
                <w:rFonts w:ascii="Times New Roman" w:hAnsi="Times New Roman" w:cs="Times New Roman"/>
                <w:bCs/>
                <w:sz w:val="24"/>
                <w:szCs w:val="24"/>
              </w:rPr>
              <w:t> </w:t>
            </w:r>
            <w:r w:rsidRPr="00BA2695">
              <w:rPr>
                <w:rFonts w:ascii="Times New Roman" w:hAnsi="Times New Roman" w:cs="Times New Roman"/>
                <w:bCs/>
                <w:sz w:val="24"/>
                <w:szCs w:val="24"/>
              </w:rPr>
              <w:t>2019/2034</w:t>
            </w:r>
            <w:r w:rsidR="00BA340F">
              <w:rPr>
                <w:rFonts w:ascii="Times New Roman" w:hAnsi="Times New Roman" w:cs="Times New Roman"/>
                <w:b/>
                <w:bCs/>
                <w:color w:val="333333"/>
                <w:sz w:val="24"/>
                <w:szCs w:val="24"/>
                <w:shd w:val="clear" w:color="auto" w:fill="FFFFFF"/>
              </w:rPr>
              <w:t xml:space="preserve"> </w:t>
            </w:r>
            <w:r w:rsidRPr="00BA2695">
              <w:rPr>
                <w:rFonts w:ascii="Times New Roman" w:hAnsi="Times New Roman" w:cs="Times New Roman"/>
                <w:sz w:val="24"/>
                <w:szCs w:val="24"/>
              </w:rPr>
              <w:t>32.</w:t>
            </w:r>
            <w:r w:rsidR="00BA340F">
              <w:rPr>
                <w:rFonts w:ascii="Times New Roman" w:hAnsi="Times New Roman" w:cs="Times New Roman"/>
                <w:sz w:val="24"/>
                <w:szCs w:val="24"/>
              </w:rPr>
              <w:t> </w:t>
            </w:r>
            <w:r w:rsidRPr="00BA2695">
              <w:rPr>
                <w:rFonts w:ascii="Times New Roman" w:hAnsi="Times New Roman" w:cs="Times New Roman"/>
                <w:sz w:val="24"/>
                <w:szCs w:val="24"/>
              </w:rPr>
              <w:t>panta 1.</w:t>
            </w:r>
            <w:r w:rsidR="00BA340F">
              <w:rPr>
                <w:rFonts w:ascii="Times New Roman" w:hAnsi="Times New Roman" w:cs="Times New Roman"/>
                <w:sz w:val="24"/>
                <w:szCs w:val="24"/>
              </w:rPr>
              <w:t> </w:t>
            </w:r>
            <w:r w:rsidRPr="00BA2695">
              <w:rPr>
                <w:rFonts w:ascii="Times New Roman" w:hAnsi="Times New Roman" w:cs="Times New Roman"/>
                <w:sz w:val="24"/>
                <w:szCs w:val="24"/>
              </w:rPr>
              <w:t>punkta (c) apakšpunkts</w:t>
            </w:r>
          </w:p>
        </w:tc>
        <w:tc>
          <w:tcPr>
            <w:tcW w:w="2307" w:type="dxa"/>
          </w:tcPr>
          <w:p w14:paraId="7800026B" w14:textId="2CD499DE"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1</w:t>
            </w:r>
            <w:r w:rsidR="001964C0">
              <w:rPr>
                <w:rFonts w:ascii="Times New Roman" w:hAnsi="Times New Roman" w:cs="Times New Roman"/>
                <w:sz w:val="24"/>
                <w:szCs w:val="24"/>
              </w:rPr>
              <w:t>7</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punkts</w:t>
            </w:r>
          </w:p>
        </w:tc>
        <w:tc>
          <w:tcPr>
            <w:tcW w:w="2304" w:type="dxa"/>
          </w:tcPr>
          <w:p w14:paraId="3369C7A5" w14:textId="5040DCAF"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7C1CD9AF" w14:textId="635F088D"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79D7F91E" w14:textId="4FD80767"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6D7CFF7D" w14:textId="5A1A3583" w:rsidR="0027183C" w:rsidRPr="00BA2695" w:rsidRDefault="0027183C" w:rsidP="005F319A">
            <w:pPr>
              <w:rPr>
                <w:rFonts w:ascii="Times New Roman" w:hAnsi="Times New Roman" w:cs="Times New Roman"/>
                <w:color w:val="FF0000"/>
                <w:sz w:val="24"/>
                <w:szCs w:val="24"/>
              </w:rPr>
            </w:pPr>
          </w:p>
        </w:tc>
      </w:tr>
      <w:tr w:rsidR="0027183C" w:rsidRPr="0027183C" w14:paraId="40535A08" w14:textId="77777777" w:rsidTr="00F63B81">
        <w:tc>
          <w:tcPr>
            <w:tcW w:w="3203" w:type="dxa"/>
          </w:tcPr>
          <w:p w14:paraId="285F269E" w14:textId="2D02280C"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(d) apakšpunkts</w:t>
            </w:r>
          </w:p>
        </w:tc>
        <w:tc>
          <w:tcPr>
            <w:tcW w:w="2307" w:type="dxa"/>
          </w:tcPr>
          <w:p w14:paraId="655938C3" w14:textId="6ABEA0AE"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3D195A">
              <w:rPr>
                <w:rFonts w:ascii="Times New Roman" w:hAnsi="Times New Roman" w:cs="Times New Roman"/>
                <w:sz w:val="24"/>
                <w:szCs w:val="24"/>
              </w:rPr>
              <w:t>11.</w:t>
            </w:r>
            <w:r w:rsidR="00BA340F">
              <w:rPr>
                <w:rFonts w:ascii="Times New Roman" w:hAnsi="Times New Roman" w:cs="Times New Roman"/>
                <w:sz w:val="24"/>
                <w:szCs w:val="24"/>
              </w:rPr>
              <w:t> </w:t>
            </w:r>
            <w:r w:rsidRPr="00BA2695">
              <w:rPr>
                <w:rFonts w:ascii="Times New Roman" w:hAnsi="Times New Roman" w:cs="Times New Roman"/>
                <w:sz w:val="24"/>
                <w:szCs w:val="24"/>
              </w:rPr>
              <w:t>punkts</w:t>
            </w:r>
          </w:p>
        </w:tc>
        <w:tc>
          <w:tcPr>
            <w:tcW w:w="2304" w:type="dxa"/>
          </w:tcPr>
          <w:p w14:paraId="2AE387FA" w14:textId="526A596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75E45450" w14:textId="54F56D6F"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538380BD" w14:textId="6674160F"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76EEC047" w14:textId="3A83BC48" w:rsidR="0027183C" w:rsidRPr="00BA2695" w:rsidRDefault="0027183C" w:rsidP="005F319A">
            <w:pPr>
              <w:rPr>
                <w:rFonts w:ascii="Times New Roman" w:hAnsi="Times New Roman" w:cs="Times New Roman"/>
                <w:color w:val="FF0000"/>
                <w:sz w:val="24"/>
                <w:szCs w:val="24"/>
              </w:rPr>
            </w:pPr>
          </w:p>
        </w:tc>
      </w:tr>
      <w:tr w:rsidR="0027183C" w:rsidRPr="0027183C" w14:paraId="1690ED48" w14:textId="77777777" w:rsidTr="00F63B81">
        <w:tc>
          <w:tcPr>
            <w:tcW w:w="3203" w:type="dxa"/>
          </w:tcPr>
          <w:p w14:paraId="14270505" w14:textId="603EC37A"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(e) apakšpunkts</w:t>
            </w:r>
          </w:p>
        </w:tc>
        <w:tc>
          <w:tcPr>
            <w:tcW w:w="2307" w:type="dxa"/>
          </w:tcPr>
          <w:p w14:paraId="37F85AD9" w14:textId="6216E1E8"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6</w:t>
            </w:r>
            <w:r w:rsidRPr="00BA2695">
              <w:rPr>
                <w:rFonts w:ascii="Times New Roman" w:hAnsi="Times New Roman" w:cs="Times New Roman"/>
                <w:sz w:val="24"/>
                <w:szCs w:val="24"/>
              </w:rPr>
              <w:t>.</w:t>
            </w:r>
            <w:r w:rsidR="003D195A">
              <w:rPr>
                <w:rFonts w:ascii="Times New Roman" w:hAnsi="Times New Roman" w:cs="Times New Roman"/>
                <w:sz w:val="24"/>
                <w:szCs w:val="24"/>
              </w:rPr>
              <w:t>7</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4DC1FBFE" w14:textId="67BFBAAB"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25ED0BDA" w14:textId="41691D32"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11EC761A" w14:textId="7891D04A"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377B76FF" w14:textId="6ADAD9E4" w:rsidR="0027183C" w:rsidRPr="00BA2695" w:rsidRDefault="0027183C" w:rsidP="005F319A">
            <w:pPr>
              <w:rPr>
                <w:rFonts w:ascii="Times New Roman" w:hAnsi="Times New Roman" w:cs="Times New Roman"/>
                <w:color w:val="FF0000"/>
                <w:sz w:val="24"/>
                <w:szCs w:val="24"/>
              </w:rPr>
            </w:pPr>
          </w:p>
        </w:tc>
      </w:tr>
      <w:tr w:rsidR="0027183C" w:rsidRPr="0027183C" w14:paraId="03765464" w14:textId="77777777" w:rsidTr="00F63B81">
        <w:tc>
          <w:tcPr>
            <w:tcW w:w="3203" w:type="dxa"/>
          </w:tcPr>
          <w:p w14:paraId="50EB9210" w14:textId="77A567D0"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(f) apakšpunkts</w:t>
            </w:r>
          </w:p>
        </w:tc>
        <w:tc>
          <w:tcPr>
            <w:tcW w:w="2307" w:type="dxa"/>
          </w:tcPr>
          <w:p w14:paraId="784F3E69" w14:textId="1CA09B8A"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9</w:t>
            </w:r>
            <w:r w:rsidRPr="00BA2695">
              <w:rPr>
                <w:rFonts w:ascii="Times New Roman" w:hAnsi="Times New Roman" w:cs="Times New Roman"/>
                <w:sz w:val="24"/>
                <w:szCs w:val="24"/>
              </w:rPr>
              <w:t>.8.</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131A30BE" w14:textId="5195928B"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6ECCA065" w14:textId="7223B170"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3B322573" w14:textId="5E5B18CF"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0DD36FD7" w14:textId="68E5E175" w:rsidR="0027183C" w:rsidRPr="00BA2695" w:rsidRDefault="0027183C" w:rsidP="005F319A">
            <w:pPr>
              <w:rPr>
                <w:rFonts w:ascii="Times New Roman" w:hAnsi="Times New Roman" w:cs="Times New Roman"/>
                <w:color w:val="FF0000"/>
                <w:sz w:val="24"/>
                <w:szCs w:val="24"/>
              </w:rPr>
            </w:pPr>
          </w:p>
        </w:tc>
      </w:tr>
      <w:tr w:rsidR="0027183C" w:rsidRPr="0027183C" w14:paraId="1A44DB41" w14:textId="77777777" w:rsidTr="00F63B81">
        <w:tc>
          <w:tcPr>
            <w:tcW w:w="3203" w:type="dxa"/>
          </w:tcPr>
          <w:p w14:paraId="6D90262A" w14:textId="6DC0431F"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(g) apakšpunkts</w:t>
            </w:r>
          </w:p>
        </w:tc>
        <w:tc>
          <w:tcPr>
            <w:tcW w:w="2307" w:type="dxa"/>
          </w:tcPr>
          <w:p w14:paraId="4E150F0B" w14:textId="587BC151"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9</w:t>
            </w:r>
            <w:r w:rsidRPr="00BA2695">
              <w:rPr>
                <w:rFonts w:ascii="Times New Roman" w:hAnsi="Times New Roman" w:cs="Times New Roman"/>
                <w:sz w:val="24"/>
                <w:szCs w:val="24"/>
              </w:rPr>
              <w:t>.8.</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18EF0785" w14:textId="0EB72D92"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250029B9" w14:textId="245C0485"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124D5EB9" w14:textId="79262AEB"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3D37A1BE" w14:textId="5607396B" w:rsidR="0027183C" w:rsidRPr="00BA2695" w:rsidRDefault="0027183C" w:rsidP="005F319A">
            <w:pPr>
              <w:rPr>
                <w:rFonts w:ascii="Times New Roman" w:hAnsi="Times New Roman" w:cs="Times New Roman"/>
                <w:color w:val="FF0000"/>
                <w:sz w:val="24"/>
                <w:szCs w:val="24"/>
              </w:rPr>
            </w:pPr>
          </w:p>
        </w:tc>
      </w:tr>
      <w:tr w:rsidR="0027183C" w:rsidRPr="0027183C" w14:paraId="228919D9" w14:textId="77777777" w:rsidTr="00F63B81">
        <w:tc>
          <w:tcPr>
            <w:tcW w:w="3203" w:type="dxa"/>
          </w:tcPr>
          <w:p w14:paraId="5E9C0F4C" w14:textId="2906D7D7"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(h) apakšpunkts</w:t>
            </w:r>
          </w:p>
        </w:tc>
        <w:tc>
          <w:tcPr>
            <w:tcW w:w="2307" w:type="dxa"/>
          </w:tcPr>
          <w:p w14:paraId="2403C9C7" w14:textId="1EB42582"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3</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punkts</w:t>
            </w:r>
          </w:p>
        </w:tc>
        <w:tc>
          <w:tcPr>
            <w:tcW w:w="2304" w:type="dxa"/>
          </w:tcPr>
          <w:p w14:paraId="406091BD" w14:textId="228E1860"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53C3CD36" w14:textId="4049E415"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19A46A62" w14:textId="6DBFBED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5391FC4E" w14:textId="6E3297A2" w:rsidR="0027183C" w:rsidRPr="00BA2695" w:rsidRDefault="0027183C" w:rsidP="005F319A">
            <w:pPr>
              <w:rPr>
                <w:rFonts w:ascii="Times New Roman" w:hAnsi="Times New Roman" w:cs="Times New Roman"/>
                <w:color w:val="FF0000"/>
                <w:sz w:val="24"/>
                <w:szCs w:val="24"/>
              </w:rPr>
            </w:pPr>
          </w:p>
        </w:tc>
      </w:tr>
      <w:tr w:rsidR="0027183C" w:rsidRPr="0027183C" w14:paraId="60CA8263" w14:textId="77777777" w:rsidTr="00F63B81">
        <w:tc>
          <w:tcPr>
            <w:tcW w:w="3203" w:type="dxa"/>
          </w:tcPr>
          <w:p w14:paraId="00B167B0" w14:textId="53505E34"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(i) apakšpunkts</w:t>
            </w:r>
          </w:p>
        </w:tc>
        <w:tc>
          <w:tcPr>
            <w:tcW w:w="2307" w:type="dxa"/>
          </w:tcPr>
          <w:p w14:paraId="30E373D9" w14:textId="000FA0FB"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9</w:t>
            </w:r>
            <w:r w:rsidRPr="00BA2695">
              <w:rPr>
                <w:rFonts w:ascii="Times New Roman" w:hAnsi="Times New Roman" w:cs="Times New Roman"/>
                <w:sz w:val="24"/>
                <w:szCs w:val="24"/>
              </w:rPr>
              <w:t>.5.2.</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20E02C6B" w14:textId="71844A8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5314C904" w14:textId="72842B8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5F70933A" w14:textId="53879C9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7CCD0876" w14:textId="25F012EC" w:rsidR="0027183C" w:rsidRPr="00BA2695" w:rsidRDefault="0027183C" w:rsidP="005F319A">
            <w:pPr>
              <w:rPr>
                <w:rFonts w:ascii="Times New Roman" w:hAnsi="Times New Roman" w:cs="Times New Roman"/>
                <w:color w:val="FF0000"/>
                <w:sz w:val="24"/>
                <w:szCs w:val="24"/>
              </w:rPr>
            </w:pPr>
          </w:p>
        </w:tc>
      </w:tr>
      <w:tr w:rsidR="0027183C" w:rsidRPr="0027183C" w14:paraId="64AE27FE" w14:textId="77777777" w:rsidTr="00F63B81">
        <w:tc>
          <w:tcPr>
            <w:tcW w:w="3203" w:type="dxa"/>
          </w:tcPr>
          <w:p w14:paraId="79D30149" w14:textId="63C8165F"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(j) apakšpunkt</w:t>
            </w:r>
            <w:r w:rsidR="001D3FEB">
              <w:rPr>
                <w:rFonts w:ascii="Times New Roman" w:hAnsi="Times New Roman" w:cs="Times New Roman"/>
                <w:sz w:val="24"/>
                <w:szCs w:val="24"/>
              </w:rPr>
              <w:t>a ievaddaļa</w:t>
            </w:r>
          </w:p>
        </w:tc>
        <w:tc>
          <w:tcPr>
            <w:tcW w:w="2307" w:type="dxa"/>
          </w:tcPr>
          <w:p w14:paraId="2EE554D7" w14:textId="54AD5B59"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6</w:t>
            </w:r>
            <w:r w:rsidRPr="00BA2695">
              <w:rPr>
                <w:rFonts w:ascii="Times New Roman" w:hAnsi="Times New Roman" w:cs="Times New Roman"/>
                <w:sz w:val="24"/>
                <w:szCs w:val="24"/>
              </w:rPr>
              <w:t>.2.</w:t>
            </w:r>
            <w:r w:rsidR="00BA340F">
              <w:rPr>
                <w:rFonts w:ascii="Times New Roman" w:hAnsi="Times New Roman" w:cs="Times New Roman"/>
                <w:sz w:val="24"/>
                <w:szCs w:val="24"/>
              </w:rPr>
              <w:t> </w:t>
            </w:r>
            <w:r w:rsidRPr="00BA2695">
              <w:rPr>
                <w:rFonts w:ascii="Times New Roman" w:hAnsi="Times New Roman" w:cs="Times New Roman"/>
                <w:sz w:val="24"/>
                <w:szCs w:val="24"/>
              </w:rPr>
              <w:t>apakšpunkt</w:t>
            </w:r>
            <w:r w:rsidR="001D3FEB">
              <w:rPr>
                <w:rFonts w:ascii="Times New Roman" w:hAnsi="Times New Roman" w:cs="Times New Roman"/>
                <w:sz w:val="24"/>
                <w:szCs w:val="24"/>
              </w:rPr>
              <w:t>a ievaddaļa</w:t>
            </w:r>
          </w:p>
        </w:tc>
        <w:tc>
          <w:tcPr>
            <w:tcW w:w="2304" w:type="dxa"/>
          </w:tcPr>
          <w:p w14:paraId="2EF497BE" w14:textId="0752700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786E337B" w14:textId="00A14319"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36B9DF42" w14:textId="4597B52D"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13B6BE45" w14:textId="06129EF6" w:rsidR="0027183C" w:rsidRPr="00BA2695" w:rsidRDefault="0027183C" w:rsidP="005F319A">
            <w:pPr>
              <w:rPr>
                <w:rFonts w:ascii="Times New Roman" w:hAnsi="Times New Roman" w:cs="Times New Roman"/>
                <w:sz w:val="24"/>
                <w:szCs w:val="24"/>
              </w:rPr>
            </w:pPr>
          </w:p>
        </w:tc>
      </w:tr>
      <w:tr w:rsidR="0027183C" w:rsidRPr="0027183C" w14:paraId="65DA6392" w14:textId="77777777" w:rsidTr="00F63B81">
        <w:tc>
          <w:tcPr>
            <w:tcW w:w="3203" w:type="dxa"/>
          </w:tcPr>
          <w:p w14:paraId="74D59843" w14:textId="1C277CFA"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(j) apakšpunkta (i) punkts</w:t>
            </w:r>
          </w:p>
        </w:tc>
        <w:tc>
          <w:tcPr>
            <w:tcW w:w="2307" w:type="dxa"/>
          </w:tcPr>
          <w:p w14:paraId="413F4889" w14:textId="19965221"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6</w:t>
            </w:r>
            <w:r w:rsidRPr="00BA2695">
              <w:rPr>
                <w:rFonts w:ascii="Times New Roman" w:hAnsi="Times New Roman" w:cs="Times New Roman"/>
                <w:sz w:val="24"/>
                <w:szCs w:val="24"/>
              </w:rPr>
              <w:t>.2.1.</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33CE95E6" w14:textId="5AC66968"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17596223" w14:textId="08C6A57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5B169A6D" w14:textId="47C72C56"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0D2F2CE7" w14:textId="1368F1D3" w:rsidR="0027183C" w:rsidRPr="00BA2695" w:rsidRDefault="0027183C" w:rsidP="005F319A">
            <w:pPr>
              <w:rPr>
                <w:rFonts w:ascii="Times New Roman" w:hAnsi="Times New Roman" w:cs="Times New Roman"/>
                <w:color w:val="FF0000"/>
                <w:sz w:val="24"/>
                <w:szCs w:val="24"/>
              </w:rPr>
            </w:pPr>
          </w:p>
        </w:tc>
      </w:tr>
      <w:tr w:rsidR="0027183C" w:rsidRPr="0027183C" w14:paraId="6CA62535" w14:textId="77777777" w:rsidTr="00F63B81">
        <w:tc>
          <w:tcPr>
            <w:tcW w:w="3203" w:type="dxa"/>
          </w:tcPr>
          <w:p w14:paraId="58EB37E4" w14:textId="383BA3B1"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(j) apakšpunkta (ii) punkts</w:t>
            </w:r>
          </w:p>
        </w:tc>
        <w:tc>
          <w:tcPr>
            <w:tcW w:w="2307" w:type="dxa"/>
          </w:tcPr>
          <w:p w14:paraId="52CC1492" w14:textId="36D98BF0"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6</w:t>
            </w:r>
            <w:r w:rsidRPr="00BA2695">
              <w:rPr>
                <w:rFonts w:ascii="Times New Roman" w:hAnsi="Times New Roman" w:cs="Times New Roman"/>
                <w:sz w:val="24"/>
                <w:szCs w:val="24"/>
              </w:rPr>
              <w:t>.2.1.</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7A3E10B5" w14:textId="56415D01"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3A13F0A2" w14:textId="2499E527"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2A033A83" w14:textId="19BB525E"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58E88E40" w14:textId="3C11F6CE" w:rsidR="0027183C" w:rsidRPr="00BA2695" w:rsidRDefault="0027183C" w:rsidP="005F319A">
            <w:pPr>
              <w:rPr>
                <w:rFonts w:ascii="Times New Roman" w:hAnsi="Times New Roman" w:cs="Times New Roman"/>
                <w:color w:val="FF0000"/>
                <w:sz w:val="24"/>
                <w:szCs w:val="24"/>
              </w:rPr>
            </w:pPr>
          </w:p>
        </w:tc>
      </w:tr>
      <w:tr w:rsidR="0027183C" w:rsidRPr="0027183C" w14:paraId="09E3E635" w14:textId="77777777" w:rsidTr="00F63B81">
        <w:trPr>
          <w:trHeight w:val="623"/>
        </w:trPr>
        <w:tc>
          <w:tcPr>
            <w:tcW w:w="3203" w:type="dxa"/>
          </w:tcPr>
          <w:p w14:paraId="6FE64B07" w14:textId="18AAF5B5"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(j) apakšpunkta (iii) punkts</w:t>
            </w:r>
          </w:p>
        </w:tc>
        <w:tc>
          <w:tcPr>
            <w:tcW w:w="2307" w:type="dxa"/>
          </w:tcPr>
          <w:p w14:paraId="70D95110" w14:textId="1B261AC3"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Noteikumu projekta 2</w:t>
            </w:r>
            <w:r w:rsidR="001964C0">
              <w:rPr>
                <w:rFonts w:ascii="Times New Roman" w:hAnsi="Times New Roman" w:cs="Times New Roman"/>
                <w:sz w:val="24"/>
                <w:szCs w:val="24"/>
              </w:rPr>
              <w:t>6</w:t>
            </w:r>
            <w:r w:rsidRPr="00BA2695">
              <w:rPr>
                <w:rFonts w:ascii="Times New Roman" w:hAnsi="Times New Roman" w:cs="Times New Roman"/>
                <w:sz w:val="24"/>
                <w:szCs w:val="24"/>
              </w:rPr>
              <w:t>.2.2.</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5C07C706" w14:textId="39FB5C1D"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316B26E5" w14:textId="7B09A929"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76BFE060" w14:textId="3CAB87ED"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3A0FC421" w14:textId="18361DCC" w:rsidR="0027183C" w:rsidRPr="00BA2695" w:rsidRDefault="0027183C" w:rsidP="005F319A">
            <w:pPr>
              <w:rPr>
                <w:rFonts w:ascii="Times New Roman" w:hAnsi="Times New Roman" w:cs="Times New Roman"/>
                <w:color w:val="FF0000"/>
                <w:sz w:val="24"/>
                <w:szCs w:val="24"/>
              </w:rPr>
            </w:pPr>
          </w:p>
        </w:tc>
      </w:tr>
      <w:tr w:rsidR="0027183C" w:rsidRPr="0027183C" w14:paraId="1CA5922C" w14:textId="77777777" w:rsidTr="00F63B81">
        <w:tc>
          <w:tcPr>
            <w:tcW w:w="3203" w:type="dxa"/>
          </w:tcPr>
          <w:p w14:paraId="070325EC" w14:textId="412036EF" w:rsidR="0027183C" w:rsidRPr="00BA2695" w:rsidRDefault="002C2396" w:rsidP="005F319A">
            <w:pPr>
              <w:tabs>
                <w:tab w:val="left" w:pos="996"/>
              </w:tabs>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(j) apakšpunkta (iv) punkts</w:t>
            </w:r>
          </w:p>
        </w:tc>
        <w:tc>
          <w:tcPr>
            <w:tcW w:w="2307" w:type="dxa"/>
          </w:tcPr>
          <w:p w14:paraId="1ED277B9" w14:textId="0CD0E012"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6</w:t>
            </w:r>
            <w:r w:rsidRPr="00BA2695">
              <w:rPr>
                <w:rFonts w:ascii="Times New Roman" w:hAnsi="Times New Roman" w:cs="Times New Roman"/>
                <w:sz w:val="24"/>
                <w:szCs w:val="24"/>
              </w:rPr>
              <w:t>.2.3.</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0B47B566" w14:textId="468321FF"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5906BE94" w14:textId="2FBC07D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72CA1A44" w14:textId="5B863CB1"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4E5E8F20" w14:textId="6F21D03B" w:rsidR="0027183C" w:rsidRPr="00BA2695" w:rsidRDefault="0027183C" w:rsidP="005F319A">
            <w:pPr>
              <w:rPr>
                <w:rFonts w:ascii="Times New Roman" w:hAnsi="Times New Roman" w:cs="Times New Roman"/>
                <w:color w:val="FF0000"/>
                <w:sz w:val="24"/>
                <w:szCs w:val="24"/>
              </w:rPr>
            </w:pPr>
          </w:p>
        </w:tc>
      </w:tr>
      <w:tr w:rsidR="0027183C" w:rsidRPr="0027183C" w14:paraId="59DAC3FC" w14:textId="77777777" w:rsidTr="00F63B81">
        <w:tc>
          <w:tcPr>
            <w:tcW w:w="3203" w:type="dxa"/>
          </w:tcPr>
          <w:p w14:paraId="6C3EB231" w14:textId="6A1E6915"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(k) apakšpunkts</w:t>
            </w:r>
          </w:p>
        </w:tc>
        <w:tc>
          <w:tcPr>
            <w:tcW w:w="2307" w:type="dxa"/>
          </w:tcPr>
          <w:p w14:paraId="3C46EAED" w14:textId="4430DA9F" w:rsidR="0027183C" w:rsidRPr="00BA2695" w:rsidRDefault="00692A15" w:rsidP="005F319A">
            <w:pPr>
              <w:rPr>
                <w:rFonts w:ascii="Times New Roman" w:hAnsi="Times New Roman" w:cs="Times New Roman"/>
                <w:sz w:val="24"/>
                <w:szCs w:val="24"/>
                <w:highlight w:val="yellow"/>
              </w:rPr>
            </w:pPr>
            <w:r>
              <w:rPr>
                <w:rFonts w:ascii="Times New Roman" w:hAnsi="Times New Roman" w:cs="Times New Roman"/>
                <w:sz w:val="24"/>
                <w:szCs w:val="24"/>
              </w:rPr>
              <w:t>Netiek pārņemts</w:t>
            </w:r>
          </w:p>
        </w:tc>
        <w:tc>
          <w:tcPr>
            <w:tcW w:w="2304" w:type="dxa"/>
          </w:tcPr>
          <w:p w14:paraId="07AF59F2" w14:textId="401BD012" w:rsidR="0027183C" w:rsidRPr="00BA2695" w:rsidRDefault="00692A15" w:rsidP="005F319A">
            <w:pPr>
              <w:rPr>
                <w:rFonts w:ascii="Times New Roman" w:hAnsi="Times New Roman" w:cs="Times New Roman"/>
                <w:sz w:val="24"/>
                <w:szCs w:val="24"/>
              </w:rPr>
            </w:pPr>
            <w:r>
              <w:rPr>
                <w:rFonts w:ascii="Times New Roman" w:hAnsi="Times New Roman" w:cs="Times New Roman"/>
                <w:sz w:val="24"/>
                <w:szCs w:val="24"/>
              </w:rPr>
              <w:t>-</w:t>
            </w:r>
          </w:p>
        </w:tc>
        <w:tc>
          <w:tcPr>
            <w:tcW w:w="2246" w:type="dxa"/>
          </w:tcPr>
          <w:p w14:paraId="6D1A5634" w14:textId="792F019F" w:rsidR="0027183C" w:rsidRPr="00BA2695" w:rsidRDefault="00692A15" w:rsidP="005F319A">
            <w:pPr>
              <w:rPr>
                <w:rFonts w:ascii="Times New Roman" w:hAnsi="Times New Roman" w:cs="Times New Roman"/>
                <w:sz w:val="24"/>
                <w:szCs w:val="24"/>
              </w:rPr>
            </w:pPr>
            <w:r>
              <w:rPr>
                <w:rFonts w:ascii="Times New Roman" w:hAnsi="Times New Roman" w:cs="Times New Roman"/>
                <w:sz w:val="24"/>
                <w:szCs w:val="24"/>
              </w:rPr>
              <w:t>-</w:t>
            </w:r>
          </w:p>
        </w:tc>
        <w:tc>
          <w:tcPr>
            <w:tcW w:w="2257" w:type="dxa"/>
          </w:tcPr>
          <w:p w14:paraId="2669F90F" w14:textId="371C59D3"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Rīcības brīvība netiek izmantota, jo Latvijā licencētas </w:t>
            </w:r>
            <w:r w:rsidR="00692A15">
              <w:rPr>
                <w:rFonts w:ascii="Times New Roman" w:hAnsi="Times New Roman" w:cs="Times New Roman"/>
                <w:sz w:val="24"/>
                <w:szCs w:val="24"/>
              </w:rPr>
              <w:t xml:space="preserve">ieguldījumu brokeru </w:t>
            </w:r>
            <w:r w:rsidRPr="000D1ADA">
              <w:rPr>
                <w:rFonts w:ascii="Times New Roman" w:hAnsi="Times New Roman" w:cs="Times New Roman"/>
                <w:sz w:val="24"/>
                <w:szCs w:val="24"/>
              </w:rPr>
              <w:t>sabiedrības var emitēt Direktīvas 2019/2034 32.</w:t>
            </w:r>
            <w:r>
              <w:rPr>
                <w:rFonts w:ascii="Times New Roman" w:hAnsi="Times New Roman" w:cs="Times New Roman"/>
                <w:sz w:val="24"/>
                <w:szCs w:val="24"/>
              </w:rPr>
              <w:t> </w:t>
            </w:r>
            <w:r w:rsidRPr="000D1ADA">
              <w:rPr>
                <w:rFonts w:ascii="Times New Roman" w:hAnsi="Times New Roman" w:cs="Times New Roman"/>
                <w:sz w:val="24"/>
                <w:szCs w:val="24"/>
              </w:rPr>
              <w:t>panta 1.</w:t>
            </w:r>
            <w:r>
              <w:rPr>
                <w:rFonts w:ascii="Times New Roman" w:hAnsi="Times New Roman" w:cs="Times New Roman"/>
                <w:sz w:val="24"/>
                <w:szCs w:val="24"/>
              </w:rPr>
              <w:t> </w:t>
            </w:r>
            <w:r w:rsidRPr="000D1ADA">
              <w:rPr>
                <w:rFonts w:ascii="Times New Roman" w:hAnsi="Times New Roman" w:cs="Times New Roman"/>
                <w:sz w:val="24"/>
                <w:szCs w:val="24"/>
              </w:rPr>
              <w:t>punkta (j)</w:t>
            </w:r>
            <w:r>
              <w:rPr>
                <w:rFonts w:ascii="Times New Roman" w:hAnsi="Times New Roman" w:cs="Times New Roman"/>
                <w:sz w:val="24"/>
                <w:szCs w:val="24"/>
              </w:rPr>
              <w:t> </w:t>
            </w:r>
            <w:r w:rsidRPr="000D1ADA">
              <w:rPr>
                <w:rFonts w:ascii="Times New Roman" w:hAnsi="Times New Roman" w:cs="Times New Roman"/>
                <w:sz w:val="24"/>
                <w:szCs w:val="24"/>
              </w:rPr>
              <w:t>apakšpunktā minētos instrumentus.</w:t>
            </w:r>
          </w:p>
        </w:tc>
        <w:tc>
          <w:tcPr>
            <w:tcW w:w="2351" w:type="dxa"/>
            <w:vMerge/>
          </w:tcPr>
          <w:p w14:paraId="4A848B24" w14:textId="552E50FA" w:rsidR="0027183C" w:rsidRPr="00BA2695" w:rsidRDefault="0027183C" w:rsidP="005F319A">
            <w:pPr>
              <w:rPr>
                <w:rFonts w:ascii="Times New Roman" w:hAnsi="Times New Roman" w:cs="Times New Roman"/>
                <w:color w:val="FF0000"/>
                <w:sz w:val="24"/>
                <w:szCs w:val="24"/>
              </w:rPr>
            </w:pPr>
          </w:p>
        </w:tc>
      </w:tr>
      <w:tr w:rsidR="0027183C" w:rsidRPr="0027183C" w14:paraId="11F2FD75" w14:textId="77777777" w:rsidTr="00F63B81">
        <w:tc>
          <w:tcPr>
            <w:tcW w:w="3203" w:type="dxa"/>
          </w:tcPr>
          <w:p w14:paraId="389D8791" w14:textId="6E728724"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(l) apakšpunkts</w:t>
            </w:r>
          </w:p>
        </w:tc>
        <w:tc>
          <w:tcPr>
            <w:tcW w:w="2307" w:type="dxa"/>
          </w:tcPr>
          <w:p w14:paraId="0E66AA88" w14:textId="213FD590"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6</w:t>
            </w:r>
            <w:r w:rsidRPr="00BA2695">
              <w:rPr>
                <w:rFonts w:ascii="Times New Roman" w:hAnsi="Times New Roman" w:cs="Times New Roman"/>
                <w:sz w:val="24"/>
                <w:szCs w:val="24"/>
              </w:rPr>
              <w:t>.1.</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13A8E99E" w14:textId="04DF383F"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52170D71" w14:textId="027D6B5C"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596B86FC" w14:textId="208C4AD1"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0D2650B6" w14:textId="6CE55DF6" w:rsidR="0027183C" w:rsidRPr="00BA2695" w:rsidRDefault="0027183C" w:rsidP="005F319A">
            <w:pPr>
              <w:rPr>
                <w:rFonts w:ascii="Times New Roman" w:hAnsi="Times New Roman" w:cs="Times New Roman"/>
                <w:color w:val="FF0000"/>
                <w:sz w:val="24"/>
                <w:szCs w:val="24"/>
              </w:rPr>
            </w:pPr>
          </w:p>
        </w:tc>
      </w:tr>
      <w:tr w:rsidR="0027183C" w:rsidRPr="0027183C" w14:paraId="78A3AD84" w14:textId="77777777" w:rsidTr="00F63B81">
        <w:tc>
          <w:tcPr>
            <w:tcW w:w="3203" w:type="dxa"/>
          </w:tcPr>
          <w:p w14:paraId="31F232D8" w14:textId="2644FAFB" w:rsidR="0027183C" w:rsidRPr="00BA2695" w:rsidRDefault="002C2396" w:rsidP="005F319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(m) apakšpunkts</w:t>
            </w:r>
          </w:p>
        </w:tc>
        <w:tc>
          <w:tcPr>
            <w:tcW w:w="2307" w:type="dxa"/>
          </w:tcPr>
          <w:p w14:paraId="33954AEE" w14:textId="28F0B9F3" w:rsidR="0027183C" w:rsidRPr="00BA2695" w:rsidRDefault="0027183C" w:rsidP="005F319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6</w:t>
            </w:r>
            <w:r w:rsidRPr="00BA2695">
              <w:rPr>
                <w:rFonts w:ascii="Times New Roman" w:hAnsi="Times New Roman" w:cs="Times New Roman"/>
                <w:sz w:val="24"/>
                <w:szCs w:val="24"/>
              </w:rPr>
              <w:t>.5.3.</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01686ABA" w14:textId="177C0217"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1DD30204" w14:textId="0B68DDE3"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43011FE2" w14:textId="5115036A" w:rsidR="0027183C" w:rsidRPr="00BA2695" w:rsidRDefault="0027183C" w:rsidP="005F319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1D30EA92" w14:textId="365289B9" w:rsidR="0027183C" w:rsidRPr="00BA2695" w:rsidRDefault="0027183C" w:rsidP="005F319A">
            <w:pPr>
              <w:rPr>
                <w:rFonts w:ascii="Times New Roman" w:hAnsi="Times New Roman" w:cs="Times New Roman"/>
                <w:color w:val="FF0000"/>
                <w:sz w:val="24"/>
                <w:szCs w:val="24"/>
              </w:rPr>
            </w:pPr>
          </w:p>
        </w:tc>
      </w:tr>
      <w:tr w:rsidR="0027183C" w:rsidRPr="0027183C" w14:paraId="1C93FAD5" w14:textId="77777777" w:rsidTr="00F63B81">
        <w:tc>
          <w:tcPr>
            <w:tcW w:w="3203" w:type="dxa"/>
          </w:tcPr>
          <w:p w14:paraId="3E8F6686" w14:textId="74970D16" w:rsidR="0027183C" w:rsidRPr="00BA2695" w:rsidRDefault="002C2396" w:rsidP="00384614">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(n) apakšpunkts</w:t>
            </w:r>
          </w:p>
        </w:tc>
        <w:tc>
          <w:tcPr>
            <w:tcW w:w="2307" w:type="dxa"/>
          </w:tcPr>
          <w:p w14:paraId="1E5CFA46" w14:textId="361A6171" w:rsidR="0027183C" w:rsidRPr="00BA2695" w:rsidRDefault="0027183C" w:rsidP="00384614">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6</w:t>
            </w:r>
            <w:r w:rsidRPr="00BA2695">
              <w:rPr>
                <w:rFonts w:ascii="Times New Roman" w:hAnsi="Times New Roman" w:cs="Times New Roman"/>
                <w:sz w:val="24"/>
                <w:szCs w:val="24"/>
              </w:rPr>
              <w:t>.6.1.</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6FFA0FDE" w14:textId="50A337C5" w:rsidR="0027183C" w:rsidRPr="00BA2695" w:rsidRDefault="0027183C" w:rsidP="00384614">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673F9994" w14:textId="209F6A71" w:rsidR="0027183C" w:rsidRPr="00BA2695" w:rsidRDefault="0027183C" w:rsidP="00384614">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0DF3AC31" w14:textId="1EC33DC8" w:rsidR="0027183C" w:rsidRPr="00BA2695" w:rsidRDefault="0027183C" w:rsidP="00384614">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58219D14" w14:textId="4AC19F58" w:rsidR="0027183C" w:rsidRPr="00BA2695" w:rsidRDefault="0027183C" w:rsidP="00384614">
            <w:pPr>
              <w:rPr>
                <w:rFonts w:ascii="Times New Roman" w:hAnsi="Times New Roman" w:cs="Times New Roman"/>
                <w:color w:val="FF0000"/>
                <w:sz w:val="24"/>
                <w:szCs w:val="24"/>
              </w:rPr>
            </w:pPr>
          </w:p>
        </w:tc>
      </w:tr>
      <w:tr w:rsidR="0027183C" w:rsidRPr="0027183C" w14:paraId="4CA8DAA7" w14:textId="77777777" w:rsidTr="00F63B81">
        <w:tc>
          <w:tcPr>
            <w:tcW w:w="3203" w:type="dxa"/>
          </w:tcPr>
          <w:p w14:paraId="3715B3B0" w14:textId="1DCD7D16" w:rsidR="0027183C" w:rsidRPr="00BA2695" w:rsidRDefault="002C2396" w:rsidP="00384614">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(a) apakšpunkts</w:t>
            </w:r>
          </w:p>
        </w:tc>
        <w:tc>
          <w:tcPr>
            <w:tcW w:w="2307" w:type="dxa"/>
          </w:tcPr>
          <w:p w14:paraId="569B2D38" w14:textId="2D18EE70" w:rsidR="0027183C" w:rsidRPr="00BA2695" w:rsidRDefault="0027183C" w:rsidP="00384614">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5</w:t>
            </w:r>
            <w:r w:rsidRPr="00BA2695">
              <w:rPr>
                <w:rFonts w:ascii="Times New Roman" w:hAnsi="Times New Roman" w:cs="Times New Roman"/>
                <w:sz w:val="24"/>
                <w:szCs w:val="24"/>
              </w:rPr>
              <w:t>.1.</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1A22A5B9" w14:textId="03E8BBF7" w:rsidR="0027183C" w:rsidRPr="00BA2695" w:rsidRDefault="0027183C" w:rsidP="00384614">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3E3C5EA8" w14:textId="127FB39F" w:rsidR="0027183C" w:rsidRPr="00BA2695" w:rsidRDefault="0027183C" w:rsidP="00384614">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2D083291" w14:textId="481A99C7" w:rsidR="0027183C" w:rsidRPr="00BA2695" w:rsidRDefault="0027183C" w:rsidP="00384614">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2E88AEDB" w14:textId="77777777" w:rsidR="0027183C" w:rsidRPr="00BA2695" w:rsidRDefault="0027183C" w:rsidP="00384614">
            <w:pPr>
              <w:rPr>
                <w:rFonts w:ascii="Times New Roman" w:hAnsi="Times New Roman" w:cs="Times New Roman"/>
                <w:sz w:val="24"/>
                <w:szCs w:val="24"/>
              </w:rPr>
            </w:pPr>
          </w:p>
        </w:tc>
      </w:tr>
      <w:tr w:rsidR="0027183C" w:rsidRPr="0027183C" w14:paraId="7F5D8776" w14:textId="77777777" w:rsidTr="00F63B81">
        <w:tc>
          <w:tcPr>
            <w:tcW w:w="3203" w:type="dxa"/>
          </w:tcPr>
          <w:p w14:paraId="7F24DB40" w14:textId="336D7B75" w:rsidR="0027183C" w:rsidRPr="00BA2695" w:rsidRDefault="002C2396" w:rsidP="00384614">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punkta (b) apakšpunkts</w:t>
            </w:r>
          </w:p>
        </w:tc>
        <w:tc>
          <w:tcPr>
            <w:tcW w:w="2307" w:type="dxa"/>
          </w:tcPr>
          <w:p w14:paraId="43FC222E" w14:textId="308015FB" w:rsidR="0027183C" w:rsidRPr="00BA2695" w:rsidRDefault="0027183C" w:rsidP="00384614">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001964C0">
              <w:rPr>
                <w:rFonts w:ascii="Times New Roman" w:hAnsi="Times New Roman" w:cs="Times New Roman"/>
                <w:sz w:val="24"/>
                <w:szCs w:val="24"/>
              </w:rPr>
              <w:t>5</w:t>
            </w:r>
            <w:r w:rsidRPr="00BA2695">
              <w:rPr>
                <w:rFonts w:ascii="Times New Roman" w:hAnsi="Times New Roman" w:cs="Times New Roman"/>
                <w:sz w:val="24"/>
                <w:szCs w:val="24"/>
              </w:rPr>
              <w:t>.2.</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3AB82956" w14:textId="2F23D974" w:rsidR="0027183C" w:rsidRPr="00BA2695" w:rsidRDefault="0027183C" w:rsidP="00384614">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46168DED" w14:textId="0D5A03CC" w:rsidR="0027183C" w:rsidRPr="00BA2695" w:rsidRDefault="0027183C" w:rsidP="00F63B81">
            <w:pPr>
              <w:ind w:right="36"/>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6A4F9416" w14:textId="5150559E" w:rsidR="0027183C" w:rsidRPr="00BA2695" w:rsidRDefault="0027183C" w:rsidP="00384614">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09F10BC7" w14:textId="77777777" w:rsidR="0027183C" w:rsidRPr="00BA2695" w:rsidRDefault="0027183C" w:rsidP="00384614">
            <w:pPr>
              <w:rPr>
                <w:rFonts w:ascii="Times New Roman" w:hAnsi="Times New Roman" w:cs="Times New Roman"/>
                <w:sz w:val="24"/>
                <w:szCs w:val="24"/>
              </w:rPr>
            </w:pPr>
          </w:p>
        </w:tc>
      </w:tr>
      <w:tr w:rsidR="0027183C" w:rsidRPr="0027183C" w14:paraId="4E4844AB" w14:textId="77777777" w:rsidTr="00F63B81">
        <w:tc>
          <w:tcPr>
            <w:tcW w:w="3203" w:type="dxa"/>
          </w:tcPr>
          <w:p w14:paraId="66D659B1" w14:textId="7FF5FA08" w:rsidR="0027183C" w:rsidRPr="00BA2695" w:rsidRDefault="002C2396" w:rsidP="00BA185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3.</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punkts</w:t>
            </w:r>
          </w:p>
        </w:tc>
        <w:tc>
          <w:tcPr>
            <w:tcW w:w="2307" w:type="dxa"/>
          </w:tcPr>
          <w:p w14:paraId="483BD74F" w14:textId="11071C42" w:rsidR="0027183C" w:rsidRPr="00BA2695" w:rsidRDefault="0027183C" w:rsidP="00BA185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6</w:t>
            </w:r>
            <w:r w:rsidRPr="00BA2695">
              <w:rPr>
                <w:rFonts w:ascii="Times New Roman" w:hAnsi="Times New Roman" w:cs="Times New Roman"/>
                <w:sz w:val="24"/>
                <w:szCs w:val="24"/>
              </w:rPr>
              <w:t>.4.</w:t>
            </w:r>
            <w:r w:rsidR="00BA340F">
              <w:rPr>
                <w:rFonts w:ascii="Times New Roman" w:hAnsi="Times New Roman" w:cs="Times New Roman"/>
                <w:sz w:val="24"/>
                <w:szCs w:val="24"/>
              </w:rPr>
              <w:t>,</w:t>
            </w:r>
            <w:r w:rsidRPr="00BA2695">
              <w:rPr>
                <w:rFonts w:ascii="Times New Roman" w:hAnsi="Times New Roman" w:cs="Times New Roman"/>
                <w:sz w:val="24"/>
                <w:szCs w:val="24"/>
              </w:rPr>
              <w:t xml:space="preserve"> </w:t>
            </w:r>
            <w:r w:rsidR="0083448C">
              <w:rPr>
                <w:rFonts w:ascii="Times New Roman" w:hAnsi="Times New Roman" w:cs="Times New Roman"/>
                <w:sz w:val="24"/>
                <w:szCs w:val="24"/>
              </w:rPr>
              <w:t xml:space="preserve">26.5.4., </w:t>
            </w:r>
            <w:r w:rsidRPr="00BA2695">
              <w:rPr>
                <w:rFonts w:ascii="Times New Roman" w:hAnsi="Times New Roman" w:cs="Times New Roman"/>
                <w:sz w:val="24"/>
                <w:szCs w:val="24"/>
              </w:rPr>
              <w:t>2</w:t>
            </w:r>
            <w:r w:rsidR="001964C0">
              <w:rPr>
                <w:rFonts w:ascii="Times New Roman" w:hAnsi="Times New Roman" w:cs="Times New Roman"/>
                <w:sz w:val="24"/>
                <w:szCs w:val="24"/>
              </w:rPr>
              <w:t>6</w:t>
            </w:r>
            <w:r w:rsidRPr="00BA2695">
              <w:rPr>
                <w:rFonts w:ascii="Times New Roman" w:hAnsi="Times New Roman" w:cs="Times New Roman"/>
                <w:sz w:val="24"/>
                <w:szCs w:val="24"/>
              </w:rPr>
              <w:t>.6.2.</w:t>
            </w:r>
            <w:r w:rsidR="00BA340F">
              <w:rPr>
                <w:rFonts w:ascii="Times New Roman" w:hAnsi="Times New Roman" w:cs="Times New Roman"/>
                <w:sz w:val="24"/>
                <w:szCs w:val="24"/>
              </w:rPr>
              <w:t xml:space="preserve"> un</w:t>
            </w:r>
            <w:r w:rsidRPr="00BA2695">
              <w:rPr>
                <w:rFonts w:ascii="Times New Roman" w:hAnsi="Times New Roman" w:cs="Times New Roman"/>
                <w:sz w:val="24"/>
                <w:szCs w:val="24"/>
              </w:rPr>
              <w:t xml:space="preserve"> 2</w:t>
            </w:r>
            <w:r w:rsidR="001964C0">
              <w:rPr>
                <w:rFonts w:ascii="Times New Roman" w:hAnsi="Times New Roman" w:cs="Times New Roman"/>
                <w:sz w:val="24"/>
                <w:szCs w:val="24"/>
              </w:rPr>
              <w:t>6</w:t>
            </w:r>
            <w:r w:rsidRPr="00BA2695">
              <w:rPr>
                <w:rFonts w:ascii="Times New Roman" w:hAnsi="Times New Roman" w:cs="Times New Roman"/>
                <w:sz w:val="24"/>
                <w:szCs w:val="24"/>
              </w:rPr>
              <w:t>.6.3.</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3ABFBCC7" w14:textId="41908E6C" w:rsidR="0027183C" w:rsidRPr="00BA2695" w:rsidRDefault="0027183C" w:rsidP="00BA185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68B9F848" w14:textId="61B48E10" w:rsidR="0027183C" w:rsidRPr="00BA2695" w:rsidRDefault="0027183C" w:rsidP="00BA185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4176C1C4" w14:textId="2CE059B6" w:rsidR="0027183C" w:rsidRPr="00BA2695" w:rsidRDefault="0027183C" w:rsidP="00BA185A">
            <w:pPr>
              <w:rPr>
                <w:rFonts w:ascii="Times New Roman" w:hAnsi="Times New Roman" w:cs="Times New Roman"/>
                <w:sz w:val="24"/>
                <w:szCs w:val="24"/>
              </w:rPr>
            </w:pPr>
            <w:r>
              <w:rPr>
                <w:rFonts w:ascii="Times New Roman" w:hAnsi="Times New Roman" w:cs="Times New Roman"/>
                <w:color w:val="000000"/>
                <w:sz w:val="24"/>
                <w:szCs w:val="24"/>
              </w:rPr>
              <w:t>T</w:t>
            </w:r>
            <w:r w:rsidRPr="00E21487">
              <w:rPr>
                <w:rFonts w:ascii="Times New Roman" w:hAnsi="Times New Roman" w:cs="Times New Roman"/>
                <w:color w:val="000000"/>
                <w:sz w:val="24"/>
                <w:szCs w:val="24"/>
              </w:rPr>
              <w:t xml:space="preserve">iesību akta vienība ir ieviesta pilnībā, izņemot tajā paredzēto </w:t>
            </w:r>
            <w:r w:rsidRPr="00E21487">
              <w:rPr>
                <w:rFonts w:ascii="Times New Roman" w:hAnsi="Times New Roman" w:cs="Times New Roman"/>
                <w:sz w:val="24"/>
                <w:szCs w:val="24"/>
              </w:rPr>
              <w:t xml:space="preserve">iespēju ierobežot atalgojuma mainīgās daļas noteikšanā izmantojamo instrumentu veidus, jo </w:t>
            </w:r>
            <w:r w:rsidR="005F2124" w:rsidRPr="00BA2695">
              <w:rPr>
                <w:rFonts w:ascii="Times New Roman" w:hAnsi="Times New Roman" w:cs="Times New Roman"/>
                <w:bCs/>
                <w:sz w:val="24"/>
                <w:szCs w:val="24"/>
              </w:rPr>
              <w:t>Direktīvas 2019/2034</w:t>
            </w:r>
            <w:r w:rsidRPr="00E21487">
              <w:rPr>
                <w:rFonts w:ascii="Times New Roman" w:hAnsi="Times New Roman" w:cs="Times New Roman"/>
                <w:sz w:val="24"/>
                <w:szCs w:val="24"/>
              </w:rPr>
              <w:t xml:space="preserve"> 32. panta 8. punkts deleģē Eiropas Banku iestādi izstrādāt regulatīvos tehniskos standartus</w:t>
            </w:r>
            <w:r w:rsidR="008A5018">
              <w:rPr>
                <w:rFonts w:ascii="Times New Roman" w:hAnsi="Times New Roman" w:cs="Times New Roman"/>
                <w:sz w:val="24"/>
                <w:szCs w:val="24"/>
              </w:rPr>
              <w:t xml:space="preserve">, kuri </w:t>
            </w:r>
            <w:r w:rsidRPr="00E21487">
              <w:rPr>
                <w:rFonts w:ascii="Times New Roman" w:hAnsi="Times New Roman" w:cs="Times New Roman"/>
                <w:sz w:val="24"/>
                <w:szCs w:val="24"/>
              </w:rPr>
              <w:t xml:space="preserve">precizē instrumentu kategorijas, kas atbilst </w:t>
            </w:r>
            <w:r w:rsidR="008A5018" w:rsidRPr="00BA2695">
              <w:rPr>
                <w:rFonts w:ascii="Times New Roman" w:hAnsi="Times New Roman" w:cs="Times New Roman"/>
                <w:bCs/>
                <w:sz w:val="24"/>
                <w:szCs w:val="24"/>
              </w:rPr>
              <w:t>Direktīv</w:t>
            </w:r>
            <w:r w:rsidR="008A5018">
              <w:rPr>
                <w:rFonts w:ascii="Times New Roman" w:hAnsi="Times New Roman" w:cs="Times New Roman"/>
                <w:bCs/>
                <w:sz w:val="24"/>
                <w:szCs w:val="24"/>
              </w:rPr>
              <w:t>ā</w:t>
            </w:r>
            <w:r w:rsidR="008A5018" w:rsidRPr="00BA2695">
              <w:rPr>
                <w:rFonts w:ascii="Times New Roman" w:hAnsi="Times New Roman" w:cs="Times New Roman"/>
                <w:bCs/>
                <w:sz w:val="24"/>
                <w:szCs w:val="24"/>
              </w:rPr>
              <w:t xml:space="preserve"> 2019/2034</w:t>
            </w:r>
            <w:r w:rsidR="008A5018">
              <w:rPr>
                <w:rFonts w:ascii="Times New Roman" w:hAnsi="Times New Roman" w:cs="Times New Roman"/>
                <w:b/>
                <w:bCs/>
                <w:color w:val="333333"/>
                <w:sz w:val="24"/>
                <w:szCs w:val="24"/>
                <w:shd w:val="clear" w:color="auto" w:fill="FFFFFF"/>
              </w:rPr>
              <w:t xml:space="preserve"> </w:t>
            </w:r>
            <w:r w:rsidRPr="00E21487">
              <w:rPr>
                <w:rFonts w:ascii="Times New Roman" w:hAnsi="Times New Roman" w:cs="Times New Roman"/>
                <w:sz w:val="24"/>
                <w:szCs w:val="24"/>
              </w:rPr>
              <w:t>izvirzītajām prasībām.</w:t>
            </w:r>
            <w:r w:rsidR="008A5018">
              <w:rPr>
                <w:rFonts w:ascii="Times New Roman" w:hAnsi="Times New Roman" w:cs="Times New Roman"/>
                <w:sz w:val="24"/>
                <w:szCs w:val="24"/>
              </w:rPr>
              <w:t xml:space="preserve"> Atbilstoši minētajiem </w:t>
            </w:r>
            <w:r w:rsidR="008A5018" w:rsidRPr="00765487">
              <w:rPr>
                <w:rFonts w:ascii="Times New Roman" w:hAnsi="Times New Roman" w:cs="Times New Roman"/>
                <w:sz w:val="24"/>
                <w:szCs w:val="24"/>
              </w:rPr>
              <w:t>regulatīv</w:t>
            </w:r>
            <w:r w:rsidR="008A5018">
              <w:rPr>
                <w:rFonts w:ascii="Times New Roman" w:hAnsi="Times New Roman" w:cs="Times New Roman"/>
                <w:sz w:val="24"/>
                <w:szCs w:val="24"/>
              </w:rPr>
              <w:t>ajiem</w:t>
            </w:r>
            <w:r w:rsidR="008A5018" w:rsidRPr="00765487">
              <w:rPr>
                <w:rFonts w:ascii="Times New Roman" w:hAnsi="Times New Roman" w:cs="Times New Roman"/>
                <w:sz w:val="24"/>
                <w:szCs w:val="24"/>
              </w:rPr>
              <w:t xml:space="preserve"> tehnisk</w:t>
            </w:r>
            <w:r w:rsidR="008A5018">
              <w:rPr>
                <w:rFonts w:ascii="Times New Roman" w:hAnsi="Times New Roman" w:cs="Times New Roman"/>
                <w:sz w:val="24"/>
                <w:szCs w:val="24"/>
              </w:rPr>
              <w:t>ajiem</w:t>
            </w:r>
            <w:r w:rsidR="008A5018" w:rsidRPr="00765487">
              <w:rPr>
                <w:rFonts w:ascii="Times New Roman" w:hAnsi="Times New Roman" w:cs="Times New Roman"/>
                <w:sz w:val="24"/>
                <w:szCs w:val="24"/>
              </w:rPr>
              <w:t xml:space="preserve"> standart</w:t>
            </w:r>
            <w:r w:rsidR="008A5018">
              <w:rPr>
                <w:rFonts w:ascii="Times New Roman" w:hAnsi="Times New Roman" w:cs="Times New Roman"/>
                <w:sz w:val="24"/>
                <w:szCs w:val="24"/>
              </w:rPr>
              <w:t xml:space="preserve">iem ir izdota </w:t>
            </w:r>
            <w:r w:rsidR="008A5018" w:rsidRPr="008A5018">
              <w:rPr>
                <w:rFonts w:ascii="Times New Roman" w:hAnsi="Times New Roman" w:cs="Times New Roman"/>
                <w:sz w:val="24"/>
                <w:szCs w:val="24"/>
              </w:rPr>
              <w:t>Komisijas 2021.</w:t>
            </w:r>
            <w:r w:rsidR="008A5018">
              <w:rPr>
                <w:rFonts w:ascii="Times New Roman" w:hAnsi="Times New Roman" w:cs="Times New Roman"/>
                <w:sz w:val="24"/>
                <w:szCs w:val="24"/>
              </w:rPr>
              <w:t> </w:t>
            </w:r>
            <w:r w:rsidR="008A5018" w:rsidRPr="008A5018">
              <w:rPr>
                <w:rFonts w:ascii="Times New Roman" w:hAnsi="Times New Roman" w:cs="Times New Roman"/>
                <w:sz w:val="24"/>
                <w:szCs w:val="24"/>
              </w:rPr>
              <w:t>gada 13.</w:t>
            </w:r>
            <w:r w:rsidR="008A5018">
              <w:rPr>
                <w:rFonts w:ascii="Times New Roman" w:hAnsi="Times New Roman" w:cs="Times New Roman"/>
                <w:sz w:val="24"/>
                <w:szCs w:val="24"/>
              </w:rPr>
              <w:t> </w:t>
            </w:r>
            <w:r w:rsidR="008A5018" w:rsidRPr="008A5018">
              <w:rPr>
                <w:rFonts w:ascii="Times New Roman" w:hAnsi="Times New Roman" w:cs="Times New Roman"/>
                <w:sz w:val="24"/>
                <w:szCs w:val="24"/>
              </w:rPr>
              <w:t>august</w:t>
            </w:r>
            <w:r w:rsidR="002405A7">
              <w:rPr>
                <w:rFonts w:ascii="Times New Roman" w:hAnsi="Times New Roman" w:cs="Times New Roman"/>
                <w:sz w:val="24"/>
                <w:szCs w:val="24"/>
              </w:rPr>
              <w:t>a</w:t>
            </w:r>
            <w:r w:rsidR="008A5018" w:rsidRPr="008A5018">
              <w:rPr>
                <w:rFonts w:ascii="Times New Roman" w:hAnsi="Times New Roman" w:cs="Times New Roman"/>
                <w:sz w:val="24"/>
                <w:szCs w:val="24"/>
              </w:rPr>
              <w:t xml:space="preserve"> </w:t>
            </w:r>
            <w:r w:rsidR="008A5018">
              <w:rPr>
                <w:rFonts w:ascii="Times New Roman" w:hAnsi="Times New Roman" w:cs="Times New Roman"/>
                <w:sz w:val="24"/>
                <w:szCs w:val="24"/>
              </w:rPr>
              <w:t>d</w:t>
            </w:r>
            <w:r w:rsidR="008A5018" w:rsidRPr="008A5018">
              <w:rPr>
                <w:rFonts w:ascii="Times New Roman" w:hAnsi="Times New Roman" w:cs="Times New Roman"/>
                <w:sz w:val="24"/>
                <w:szCs w:val="24"/>
              </w:rPr>
              <w:t>eleģētā regula (ES)</w:t>
            </w:r>
            <w:r w:rsidR="006904A3">
              <w:rPr>
                <w:rFonts w:ascii="Times New Roman" w:hAnsi="Times New Roman" w:cs="Times New Roman"/>
                <w:sz w:val="24"/>
                <w:szCs w:val="24"/>
              </w:rPr>
              <w:t> </w:t>
            </w:r>
            <w:r w:rsidR="008A5018" w:rsidRPr="008A5018">
              <w:rPr>
                <w:rFonts w:ascii="Times New Roman" w:hAnsi="Times New Roman" w:cs="Times New Roman"/>
                <w:sz w:val="24"/>
                <w:szCs w:val="24"/>
              </w:rPr>
              <w:t xml:space="preserve">2021/2155, ar ko attiecībā uz regulatīvajiem tehniskajiem standartiem, precizējot to instrumentu klases, kas adekvāti atspoguļo ieguldījumu brokeru sabiedrības kredītkvalitāti parastās situācijās, un iespējamo alternatīvo kārtību, kura ir piemērota izmantošanai atalgojuma mainīgās daļas vajadzībām, papildina Eiropas Parlamenta un Padomes </w:t>
            </w:r>
            <w:r w:rsidR="008A5018">
              <w:rPr>
                <w:rFonts w:ascii="Times New Roman" w:hAnsi="Times New Roman" w:cs="Times New Roman"/>
                <w:sz w:val="24"/>
                <w:szCs w:val="24"/>
              </w:rPr>
              <w:t>d</w:t>
            </w:r>
            <w:r w:rsidR="008A5018" w:rsidRPr="008A5018">
              <w:rPr>
                <w:rFonts w:ascii="Times New Roman" w:hAnsi="Times New Roman" w:cs="Times New Roman"/>
                <w:sz w:val="24"/>
                <w:szCs w:val="24"/>
              </w:rPr>
              <w:t>irektīvu (ES)</w:t>
            </w:r>
            <w:r w:rsidR="002C2396">
              <w:rPr>
                <w:rFonts w:ascii="Times New Roman" w:hAnsi="Times New Roman" w:cs="Times New Roman"/>
                <w:sz w:val="24"/>
                <w:szCs w:val="24"/>
              </w:rPr>
              <w:t> </w:t>
            </w:r>
            <w:r w:rsidR="008A5018" w:rsidRPr="008A5018">
              <w:rPr>
                <w:rFonts w:ascii="Times New Roman" w:hAnsi="Times New Roman" w:cs="Times New Roman"/>
                <w:sz w:val="24"/>
                <w:szCs w:val="24"/>
              </w:rPr>
              <w:t>2019/2034</w:t>
            </w:r>
            <w:r w:rsidR="008A5018">
              <w:rPr>
                <w:rFonts w:ascii="Times New Roman" w:hAnsi="Times New Roman" w:cs="Times New Roman"/>
                <w:sz w:val="24"/>
                <w:szCs w:val="24"/>
              </w:rPr>
              <w:t>.</w:t>
            </w:r>
          </w:p>
        </w:tc>
        <w:tc>
          <w:tcPr>
            <w:tcW w:w="2351" w:type="dxa"/>
            <w:vMerge/>
          </w:tcPr>
          <w:p w14:paraId="03F44D5B" w14:textId="27D7C08D" w:rsidR="0027183C" w:rsidRPr="00BA2695" w:rsidRDefault="0027183C" w:rsidP="00BA185A">
            <w:pPr>
              <w:rPr>
                <w:rFonts w:ascii="Times New Roman" w:hAnsi="Times New Roman" w:cs="Times New Roman"/>
                <w:sz w:val="24"/>
                <w:szCs w:val="24"/>
              </w:rPr>
            </w:pPr>
          </w:p>
        </w:tc>
      </w:tr>
      <w:tr w:rsidR="0027183C" w:rsidRPr="0027183C" w14:paraId="2498BC73" w14:textId="77777777" w:rsidTr="00F63B81">
        <w:tc>
          <w:tcPr>
            <w:tcW w:w="3203" w:type="dxa"/>
          </w:tcPr>
          <w:p w14:paraId="457F3F32" w14:textId="20990ADA" w:rsidR="0027183C" w:rsidRPr="00BA2695" w:rsidRDefault="002C2396" w:rsidP="00BA185A">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4.</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punkts</w:t>
            </w:r>
          </w:p>
        </w:tc>
        <w:tc>
          <w:tcPr>
            <w:tcW w:w="2307" w:type="dxa"/>
          </w:tcPr>
          <w:p w14:paraId="3DA82A4B" w14:textId="47DEEA8E" w:rsidR="0027183C" w:rsidRPr="00BA2695" w:rsidRDefault="0027183C" w:rsidP="00BA185A">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7</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punkts</w:t>
            </w:r>
          </w:p>
        </w:tc>
        <w:tc>
          <w:tcPr>
            <w:tcW w:w="2304" w:type="dxa"/>
          </w:tcPr>
          <w:p w14:paraId="776B63DF" w14:textId="2071C16C" w:rsidR="0027183C" w:rsidRPr="00BA2695" w:rsidRDefault="0027183C" w:rsidP="00BA185A">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6DE3600A" w14:textId="47161344" w:rsidR="0027183C" w:rsidRPr="00BA2695" w:rsidRDefault="0027183C" w:rsidP="00BA185A">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46E84D8D" w14:textId="34EDF909" w:rsidR="0027183C" w:rsidRPr="00BA2695" w:rsidRDefault="0027183C" w:rsidP="00BA185A">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58F4060B" w14:textId="786EFEB5" w:rsidR="0027183C" w:rsidRPr="00BA2695" w:rsidRDefault="0027183C" w:rsidP="00BA185A">
            <w:pPr>
              <w:rPr>
                <w:rFonts w:ascii="Times New Roman" w:hAnsi="Times New Roman" w:cs="Times New Roman"/>
                <w:sz w:val="24"/>
                <w:szCs w:val="24"/>
              </w:rPr>
            </w:pPr>
          </w:p>
        </w:tc>
      </w:tr>
      <w:tr w:rsidR="0027183C" w:rsidRPr="0027183C" w14:paraId="3D634732" w14:textId="77777777" w:rsidTr="00F63B81">
        <w:tc>
          <w:tcPr>
            <w:tcW w:w="3203" w:type="dxa"/>
          </w:tcPr>
          <w:p w14:paraId="37AADF89" w14:textId="46F4AE25" w:rsidR="0027183C" w:rsidRPr="00BA2695" w:rsidRDefault="002C2396" w:rsidP="00DA3C81">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32.</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5.</w:t>
            </w:r>
            <w:r w:rsidR="003B1F09">
              <w:rPr>
                <w:rFonts w:ascii="Times New Roman" w:hAnsi="Times New Roman" w:cs="Times New Roman"/>
                <w:sz w:val="24"/>
                <w:szCs w:val="24"/>
              </w:rPr>
              <w:t>, 6. un 7. </w:t>
            </w:r>
            <w:r w:rsidR="0027183C" w:rsidRPr="00BA2695">
              <w:rPr>
                <w:rFonts w:ascii="Times New Roman" w:hAnsi="Times New Roman" w:cs="Times New Roman"/>
                <w:sz w:val="24"/>
                <w:szCs w:val="24"/>
              </w:rPr>
              <w:t>punkts</w:t>
            </w:r>
          </w:p>
        </w:tc>
        <w:tc>
          <w:tcPr>
            <w:tcW w:w="2307" w:type="dxa"/>
          </w:tcPr>
          <w:p w14:paraId="314E5194" w14:textId="17732E2F" w:rsidR="0027183C" w:rsidRPr="00BA2695" w:rsidRDefault="0027183C" w:rsidP="00DA3C81">
            <w:pPr>
              <w:rPr>
                <w:rFonts w:ascii="Times New Roman" w:hAnsi="Times New Roman" w:cs="Times New Roman"/>
                <w:sz w:val="24"/>
                <w:szCs w:val="24"/>
              </w:rPr>
            </w:pPr>
            <w:r w:rsidRPr="00BA2695">
              <w:rPr>
                <w:rFonts w:ascii="Times New Roman" w:hAnsi="Times New Roman" w:cs="Times New Roman"/>
                <w:sz w:val="24"/>
                <w:szCs w:val="24"/>
              </w:rPr>
              <w:t>Netiek pārņemts</w:t>
            </w:r>
          </w:p>
        </w:tc>
        <w:tc>
          <w:tcPr>
            <w:tcW w:w="2304" w:type="dxa"/>
          </w:tcPr>
          <w:p w14:paraId="249C6732" w14:textId="13C522CF" w:rsidR="0027183C" w:rsidRPr="00BA2695" w:rsidRDefault="0027183C" w:rsidP="00DA3C81">
            <w:pPr>
              <w:rPr>
                <w:rFonts w:ascii="Times New Roman" w:hAnsi="Times New Roman" w:cs="Times New Roman"/>
                <w:sz w:val="24"/>
                <w:szCs w:val="24"/>
              </w:rPr>
            </w:pPr>
          </w:p>
        </w:tc>
        <w:tc>
          <w:tcPr>
            <w:tcW w:w="2246" w:type="dxa"/>
          </w:tcPr>
          <w:p w14:paraId="1F2FA722" w14:textId="4711DFD7" w:rsidR="0027183C" w:rsidRPr="00BA2695" w:rsidRDefault="0027183C" w:rsidP="00DA3C81">
            <w:pPr>
              <w:rPr>
                <w:rFonts w:ascii="Times New Roman" w:hAnsi="Times New Roman" w:cs="Times New Roman"/>
                <w:sz w:val="24"/>
                <w:szCs w:val="24"/>
              </w:rPr>
            </w:pPr>
          </w:p>
        </w:tc>
        <w:tc>
          <w:tcPr>
            <w:tcW w:w="2257" w:type="dxa"/>
          </w:tcPr>
          <w:p w14:paraId="022B7F26" w14:textId="4D633DEF" w:rsidR="0027183C" w:rsidRPr="00BA2695" w:rsidRDefault="0027183C" w:rsidP="00DA3C81">
            <w:pPr>
              <w:rPr>
                <w:rFonts w:ascii="Times New Roman" w:hAnsi="Times New Roman" w:cs="Times New Roman"/>
                <w:sz w:val="24"/>
                <w:szCs w:val="24"/>
              </w:rPr>
            </w:pPr>
            <w:r w:rsidRPr="000D1ADA">
              <w:rPr>
                <w:rFonts w:ascii="Times New Roman" w:hAnsi="Times New Roman" w:cs="Times New Roman"/>
                <w:sz w:val="24"/>
                <w:szCs w:val="24"/>
              </w:rPr>
              <w:t xml:space="preserve">Rīcības brīvība netiek izmantota, jo </w:t>
            </w:r>
            <w:r w:rsidRPr="000D1ADA">
              <w:rPr>
                <w:rFonts w:ascii="Times New Roman" w:hAnsi="Times New Roman" w:cs="Times New Roman"/>
                <w:bCs/>
                <w:sz w:val="24"/>
                <w:szCs w:val="24"/>
              </w:rPr>
              <w:t xml:space="preserve">Direktīvas 2019/2034 </w:t>
            </w:r>
            <w:r w:rsidRPr="000D1ADA">
              <w:rPr>
                <w:rFonts w:ascii="Times New Roman" w:hAnsi="Times New Roman" w:cs="Times New Roman"/>
                <w:sz w:val="24"/>
                <w:szCs w:val="24"/>
              </w:rPr>
              <w:t>32. panta 4. punktā minētie nosacījumi ir atbilstoši Latvijas tirgus apstākļiem</w:t>
            </w:r>
            <w:r>
              <w:rPr>
                <w:rFonts w:ascii="Times New Roman" w:hAnsi="Times New Roman" w:cs="Times New Roman"/>
                <w:sz w:val="24"/>
                <w:szCs w:val="24"/>
              </w:rPr>
              <w:t>.</w:t>
            </w:r>
          </w:p>
        </w:tc>
        <w:tc>
          <w:tcPr>
            <w:tcW w:w="2351" w:type="dxa"/>
            <w:vMerge/>
          </w:tcPr>
          <w:p w14:paraId="59B98655" w14:textId="7AC53AE1" w:rsidR="0027183C" w:rsidRPr="00BA2695" w:rsidRDefault="0027183C" w:rsidP="00DA3C81">
            <w:pPr>
              <w:rPr>
                <w:rFonts w:ascii="Times New Roman" w:hAnsi="Times New Roman" w:cs="Times New Roman"/>
                <w:sz w:val="24"/>
                <w:szCs w:val="24"/>
              </w:rPr>
            </w:pPr>
          </w:p>
        </w:tc>
      </w:tr>
      <w:tr w:rsidR="0027183C" w:rsidRPr="0027183C" w14:paraId="3CA59200" w14:textId="77777777" w:rsidTr="00F63B81">
        <w:tc>
          <w:tcPr>
            <w:tcW w:w="3203" w:type="dxa"/>
          </w:tcPr>
          <w:p w14:paraId="22045773" w14:textId="356ABE2A" w:rsidR="0027183C" w:rsidRPr="00BA2695" w:rsidRDefault="002C2396" w:rsidP="00DA3C81">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34.</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1.</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punkts</w:t>
            </w:r>
          </w:p>
        </w:tc>
        <w:tc>
          <w:tcPr>
            <w:tcW w:w="2307" w:type="dxa"/>
          </w:tcPr>
          <w:p w14:paraId="1B9B8CCE" w14:textId="4DD92597" w:rsidR="0027183C" w:rsidRPr="00BA2695" w:rsidRDefault="0027183C" w:rsidP="00DA3C81">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8</w:t>
            </w:r>
            <w:r w:rsidRPr="00BA2695">
              <w:rPr>
                <w:rFonts w:ascii="Times New Roman" w:hAnsi="Times New Roman" w:cs="Times New Roman"/>
                <w:sz w:val="24"/>
                <w:szCs w:val="24"/>
              </w:rPr>
              <w:t>.</w:t>
            </w:r>
            <w:r w:rsidR="00BA340F">
              <w:rPr>
                <w:rFonts w:ascii="Times New Roman" w:hAnsi="Times New Roman" w:cs="Times New Roman"/>
                <w:sz w:val="24"/>
                <w:szCs w:val="24"/>
              </w:rPr>
              <w:t> </w:t>
            </w:r>
            <w:r w:rsidRPr="00BA2695">
              <w:rPr>
                <w:rFonts w:ascii="Times New Roman" w:hAnsi="Times New Roman" w:cs="Times New Roman"/>
                <w:sz w:val="24"/>
                <w:szCs w:val="24"/>
              </w:rPr>
              <w:t>punkts</w:t>
            </w:r>
          </w:p>
        </w:tc>
        <w:tc>
          <w:tcPr>
            <w:tcW w:w="2304" w:type="dxa"/>
          </w:tcPr>
          <w:p w14:paraId="39756CE4" w14:textId="1D5D7A08" w:rsidR="0027183C" w:rsidRPr="00BA2695" w:rsidRDefault="0027183C" w:rsidP="00DA3C81">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68DF2730" w14:textId="261F4E56" w:rsidR="0027183C" w:rsidRPr="00BA2695" w:rsidRDefault="0027183C" w:rsidP="00DA3C81">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53EF5DC3" w14:textId="1A0D1362" w:rsidR="0027183C" w:rsidRPr="00BA2695" w:rsidRDefault="0027183C" w:rsidP="00DA3C81">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20ECEF50" w14:textId="77777777" w:rsidR="0027183C" w:rsidRPr="00BA2695" w:rsidRDefault="0027183C" w:rsidP="00DA3C81">
            <w:pPr>
              <w:rPr>
                <w:rFonts w:ascii="Times New Roman" w:hAnsi="Times New Roman" w:cs="Times New Roman"/>
                <w:sz w:val="24"/>
                <w:szCs w:val="24"/>
              </w:rPr>
            </w:pPr>
          </w:p>
        </w:tc>
      </w:tr>
      <w:tr w:rsidR="0027183C" w:rsidRPr="0027183C" w14:paraId="148CB373" w14:textId="77777777" w:rsidTr="00F63B81">
        <w:tc>
          <w:tcPr>
            <w:tcW w:w="3203" w:type="dxa"/>
          </w:tcPr>
          <w:p w14:paraId="61A75583" w14:textId="7A899618" w:rsidR="0027183C" w:rsidRPr="00BA2695" w:rsidRDefault="002C2396" w:rsidP="00DA3C81">
            <w:pPr>
              <w:rPr>
                <w:rFonts w:ascii="Times New Roman" w:hAnsi="Times New Roman" w:cs="Times New Roman"/>
                <w:sz w:val="24"/>
                <w:szCs w:val="24"/>
              </w:rPr>
            </w:pPr>
            <w:r w:rsidRPr="00BA2695">
              <w:rPr>
                <w:rFonts w:ascii="Times New Roman" w:hAnsi="Times New Roman" w:cs="Times New Roman"/>
                <w:bCs/>
                <w:sz w:val="24"/>
                <w:szCs w:val="24"/>
              </w:rPr>
              <w:t>Direktīvas</w:t>
            </w:r>
            <w:r>
              <w:rPr>
                <w:rFonts w:ascii="Times New Roman" w:hAnsi="Times New Roman" w:cs="Times New Roman"/>
                <w:bCs/>
                <w:sz w:val="24"/>
                <w:szCs w:val="24"/>
              </w:rPr>
              <w:t> </w:t>
            </w:r>
            <w:r w:rsidRPr="00BA2695">
              <w:rPr>
                <w:rFonts w:ascii="Times New Roman" w:hAnsi="Times New Roman" w:cs="Times New Roman"/>
                <w:bCs/>
                <w:sz w:val="24"/>
                <w:szCs w:val="24"/>
              </w:rPr>
              <w:t>2019/2034</w:t>
            </w:r>
            <w:r>
              <w:rPr>
                <w:rFonts w:ascii="Times New Roman" w:hAnsi="Times New Roman" w:cs="Times New Roman"/>
                <w:b/>
                <w:bCs/>
                <w:color w:val="333333"/>
                <w:sz w:val="24"/>
                <w:szCs w:val="24"/>
                <w:shd w:val="clear" w:color="auto" w:fill="FFFFFF"/>
              </w:rPr>
              <w:t xml:space="preserve"> </w:t>
            </w:r>
            <w:r w:rsidR="0027183C" w:rsidRPr="00BA2695">
              <w:rPr>
                <w:rFonts w:ascii="Times New Roman" w:hAnsi="Times New Roman" w:cs="Times New Roman"/>
                <w:sz w:val="24"/>
                <w:szCs w:val="24"/>
              </w:rPr>
              <w:t>34.</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panta 4.</w:t>
            </w:r>
            <w:r w:rsidR="00BA340F">
              <w:rPr>
                <w:rFonts w:ascii="Times New Roman" w:hAnsi="Times New Roman" w:cs="Times New Roman"/>
                <w:sz w:val="24"/>
                <w:szCs w:val="24"/>
              </w:rPr>
              <w:t> </w:t>
            </w:r>
            <w:r w:rsidR="0027183C" w:rsidRPr="00BA2695">
              <w:rPr>
                <w:rFonts w:ascii="Times New Roman" w:hAnsi="Times New Roman" w:cs="Times New Roman"/>
                <w:sz w:val="24"/>
                <w:szCs w:val="24"/>
              </w:rPr>
              <w:t>punkts</w:t>
            </w:r>
          </w:p>
        </w:tc>
        <w:tc>
          <w:tcPr>
            <w:tcW w:w="2307" w:type="dxa"/>
          </w:tcPr>
          <w:p w14:paraId="6B885B4D" w14:textId="1E83DE82" w:rsidR="0027183C" w:rsidRPr="00BA2695" w:rsidRDefault="0027183C" w:rsidP="00DA3C81">
            <w:pPr>
              <w:rPr>
                <w:rFonts w:ascii="Times New Roman" w:hAnsi="Times New Roman" w:cs="Times New Roman"/>
                <w:sz w:val="24"/>
                <w:szCs w:val="24"/>
              </w:rPr>
            </w:pPr>
            <w:r w:rsidRPr="000D1ADA">
              <w:rPr>
                <w:rFonts w:ascii="Times New Roman" w:hAnsi="Times New Roman" w:cs="Times New Roman"/>
                <w:sz w:val="24"/>
                <w:szCs w:val="24"/>
              </w:rPr>
              <w:t xml:space="preserve">Noteikumu projekta </w:t>
            </w:r>
            <w:r w:rsidRPr="00BA2695">
              <w:rPr>
                <w:rFonts w:ascii="Times New Roman" w:hAnsi="Times New Roman" w:cs="Times New Roman"/>
                <w:sz w:val="24"/>
                <w:szCs w:val="24"/>
              </w:rPr>
              <w:t>2</w:t>
            </w:r>
            <w:r w:rsidR="001964C0">
              <w:rPr>
                <w:rFonts w:ascii="Times New Roman" w:hAnsi="Times New Roman" w:cs="Times New Roman"/>
                <w:sz w:val="24"/>
                <w:szCs w:val="24"/>
              </w:rPr>
              <w:t>8</w:t>
            </w:r>
            <w:r w:rsidRPr="00BA2695">
              <w:rPr>
                <w:rFonts w:ascii="Times New Roman" w:hAnsi="Times New Roman" w:cs="Times New Roman"/>
                <w:sz w:val="24"/>
                <w:szCs w:val="24"/>
              </w:rPr>
              <w:t>.1.1.</w:t>
            </w:r>
            <w:r w:rsidR="00BA340F">
              <w:rPr>
                <w:rFonts w:ascii="Times New Roman" w:hAnsi="Times New Roman" w:cs="Times New Roman"/>
                <w:sz w:val="24"/>
                <w:szCs w:val="24"/>
              </w:rPr>
              <w:t> </w:t>
            </w:r>
            <w:r w:rsidRPr="00BA2695">
              <w:rPr>
                <w:rFonts w:ascii="Times New Roman" w:hAnsi="Times New Roman" w:cs="Times New Roman"/>
                <w:sz w:val="24"/>
                <w:szCs w:val="24"/>
              </w:rPr>
              <w:t>apakšpunkts</w:t>
            </w:r>
          </w:p>
        </w:tc>
        <w:tc>
          <w:tcPr>
            <w:tcW w:w="2304" w:type="dxa"/>
          </w:tcPr>
          <w:p w14:paraId="69239B92" w14:textId="2747F259" w:rsidR="0027183C" w:rsidRPr="00BA2695" w:rsidRDefault="0027183C" w:rsidP="00DA3C81">
            <w:pPr>
              <w:rPr>
                <w:rFonts w:ascii="Times New Roman" w:hAnsi="Times New Roman" w:cs="Times New Roman"/>
                <w:sz w:val="24"/>
                <w:szCs w:val="24"/>
              </w:rPr>
            </w:pPr>
            <w:r w:rsidRPr="00BA2695">
              <w:rPr>
                <w:rFonts w:ascii="Times New Roman" w:hAnsi="Times New Roman" w:cs="Times New Roman"/>
                <w:sz w:val="24"/>
                <w:szCs w:val="24"/>
              </w:rPr>
              <w:t>Izpilda pilnībā</w:t>
            </w:r>
          </w:p>
        </w:tc>
        <w:tc>
          <w:tcPr>
            <w:tcW w:w="2246" w:type="dxa"/>
          </w:tcPr>
          <w:p w14:paraId="161420F5" w14:textId="0E291B13" w:rsidR="0027183C" w:rsidRPr="00BA2695" w:rsidRDefault="0027183C" w:rsidP="00DA3C81">
            <w:pPr>
              <w:rPr>
                <w:rFonts w:ascii="Times New Roman" w:hAnsi="Times New Roman" w:cs="Times New Roman"/>
                <w:sz w:val="24"/>
                <w:szCs w:val="24"/>
              </w:rPr>
            </w:pPr>
            <w:r w:rsidRPr="00BA2695">
              <w:rPr>
                <w:rFonts w:ascii="Times New Roman" w:hAnsi="Times New Roman" w:cs="Times New Roman"/>
                <w:sz w:val="24"/>
                <w:szCs w:val="24"/>
              </w:rPr>
              <w:t>Nē</w:t>
            </w:r>
          </w:p>
        </w:tc>
        <w:tc>
          <w:tcPr>
            <w:tcW w:w="2257" w:type="dxa"/>
          </w:tcPr>
          <w:p w14:paraId="1D412695" w14:textId="5A005A1A" w:rsidR="0027183C" w:rsidRPr="00BA2695" w:rsidRDefault="0027183C" w:rsidP="00DA3C81">
            <w:pPr>
              <w:rPr>
                <w:rFonts w:ascii="Times New Roman" w:hAnsi="Times New Roman" w:cs="Times New Roman"/>
                <w:sz w:val="24"/>
                <w:szCs w:val="24"/>
              </w:rPr>
            </w:pPr>
            <w:r w:rsidRPr="00BA2695">
              <w:rPr>
                <w:rFonts w:ascii="Times New Roman" w:hAnsi="Times New Roman" w:cs="Times New Roman"/>
                <w:sz w:val="24"/>
                <w:szCs w:val="24"/>
              </w:rPr>
              <w:t>Jā</w:t>
            </w:r>
          </w:p>
        </w:tc>
        <w:tc>
          <w:tcPr>
            <w:tcW w:w="2351" w:type="dxa"/>
            <w:vMerge/>
          </w:tcPr>
          <w:p w14:paraId="6771D1DB" w14:textId="77777777" w:rsidR="0027183C" w:rsidRPr="00BA2695" w:rsidRDefault="0027183C" w:rsidP="00DA3C81">
            <w:pPr>
              <w:rPr>
                <w:rFonts w:ascii="Times New Roman" w:hAnsi="Times New Roman" w:cs="Times New Roman"/>
                <w:sz w:val="24"/>
                <w:szCs w:val="24"/>
              </w:rPr>
            </w:pPr>
          </w:p>
        </w:tc>
      </w:tr>
    </w:tbl>
    <w:p w14:paraId="72C50611" w14:textId="77777777" w:rsidR="00EB1AF1" w:rsidRPr="000D1ADA" w:rsidRDefault="00EB1AF1">
      <w:pPr>
        <w:rPr>
          <w:rFonts w:ascii="Times New Roman" w:hAnsi="Times New Roman" w:cs="Times New Roman"/>
          <w:sz w:val="24"/>
          <w:szCs w:val="24"/>
        </w:rPr>
      </w:pPr>
    </w:p>
    <w:sectPr w:rsidR="00EB1AF1" w:rsidRPr="000D1ADA" w:rsidSect="00EB1AF1">
      <w:pgSz w:w="16838" w:h="11906" w:orient="landscape" w:code="9"/>
      <w:pgMar w:top="170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C2919" w14:textId="77777777" w:rsidR="00302044" w:rsidRDefault="00302044" w:rsidP="006C3828">
      <w:pPr>
        <w:spacing w:after="0" w:line="240" w:lineRule="auto"/>
      </w:pPr>
      <w:r>
        <w:separator/>
      </w:r>
    </w:p>
  </w:endnote>
  <w:endnote w:type="continuationSeparator" w:id="0">
    <w:p w14:paraId="2F4D84C0" w14:textId="77777777" w:rsidR="00302044" w:rsidRDefault="00302044" w:rsidP="006C3828">
      <w:pPr>
        <w:spacing w:after="0" w:line="240" w:lineRule="auto"/>
      </w:pPr>
      <w:r>
        <w:continuationSeparator/>
      </w:r>
    </w:p>
  </w:endnote>
  <w:endnote w:type="continuationNotice" w:id="1">
    <w:p w14:paraId="7F38B007" w14:textId="77777777" w:rsidR="00302044" w:rsidRDefault="003020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F212C" w14:textId="77777777" w:rsidR="00302044" w:rsidRDefault="00302044" w:rsidP="006C3828">
      <w:pPr>
        <w:spacing w:after="0" w:line="240" w:lineRule="auto"/>
      </w:pPr>
      <w:r>
        <w:separator/>
      </w:r>
    </w:p>
  </w:footnote>
  <w:footnote w:type="continuationSeparator" w:id="0">
    <w:p w14:paraId="54A7C276" w14:textId="77777777" w:rsidR="00302044" w:rsidRDefault="00302044" w:rsidP="006C3828">
      <w:pPr>
        <w:spacing w:after="0" w:line="240" w:lineRule="auto"/>
      </w:pPr>
      <w:r>
        <w:continuationSeparator/>
      </w:r>
    </w:p>
  </w:footnote>
  <w:footnote w:type="continuationNotice" w:id="1">
    <w:p w14:paraId="107A07BC" w14:textId="77777777" w:rsidR="00302044" w:rsidRDefault="00302044">
      <w:pPr>
        <w:spacing w:after="0" w:line="240" w:lineRule="auto"/>
      </w:pPr>
    </w:p>
  </w:footnote>
  <w:footnote w:id="2">
    <w:p w14:paraId="4BD5C951" w14:textId="744E9C01" w:rsidR="00094F5F" w:rsidRPr="00175EE7" w:rsidRDefault="00094F5F">
      <w:pPr>
        <w:pStyle w:val="FootnoteText"/>
        <w:rPr>
          <w:rFonts w:ascii="Times New Roman" w:hAnsi="Times New Roman" w:cs="Times New Roman"/>
        </w:rPr>
      </w:pPr>
      <w:r>
        <w:rPr>
          <w:rStyle w:val="FootnoteReference"/>
        </w:rPr>
        <w:t>*</w:t>
      </w:r>
      <w:r w:rsidRPr="00175EE7">
        <w:rPr>
          <w:rFonts w:ascii="Times New Roman" w:hAnsi="Times New Roman" w:cs="Times New Roman"/>
        </w:rPr>
        <w:t xml:space="preserve"> Skat. anotācijas sadaļu "Saistītie dokumenti".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6052C8"/>
    <w:multiLevelType w:val="hybridMultilevel"/>
    <w:tmpl w:val="346A26A8"/>
    <w:lvl w:ilvl="0" w:tplc="5AAA918E">
      <w:start w:val="1"/>
      <w:numFmt w:val="decimal"/>
      <w:lvlText w:val="%1)"/>
      <w:lvlJc w:val="left"/>
      <w:pPr>
        <w:ind w:left="1020" w:hanging="360"/>
      </w:pPr>
    </w:lvl>
    <w:lvl w:ilvl="1" w:tplc="793A0DA0">
      <w:start w:val="1"/>
      <w:numFmt w:val="decimal"/>
      <w:lvlText w:val="%2)"/>
      <w:lvlJc w:val="left"/>
      <w:pPr>
        <w:ind w:left="1020" w:hanging="360"/>
      </w:pPr>
    </w:lvl>
    <w:lvl w:ilvl="2" w:tplc="1E8079B4">
      <w:start w:val="1"/>
      <w:numFmt w:val="decimal"/>
      <w:lvlText w:val="%3)"/>
      <w:lvlJc w:val="left"/>
      <w:pPr>
        <w:ind w:left="1020" w:hanging="360"/>
      </w:pPr>
    </w:lvl>
    <w:lvl w:ilvl="3" w:tplc="8D4C0AAC">
      <w:start w:val="1"/>
      <w:numFmt w:val="decimal"/>
      <w:lvlText w:val="%4)"/>
      <w:lvlJc w:val="left"/>
      <w:pPr>
        <w:ind w:left="1020" w:hanging="360"/>
      </w:pPr>
    </w:lvl>
    <w:lvl w:ilvl="4" w:tplc="B1E650E0">
      <w:start w:val="1"/>
      <w:numFmt w:val="decimal"/>
      <w:lvlText w:val="%5)"/>
      <w:lvlJc w:val="left"/>
      <w:pPr>
        <w:ind w:left="1020" w:hanging="360"/>
      </w:pPr>
    </w:lvl>
    <w:lvl w:ilvl="5" w:tplc="1B96CC06">
      <w:start w:val="1"/>
      <w:numFmt w:val="decimal"/>
      <w:lvlText w:val="%6)"/>
      <w:lvlJc w:val="left"/>
      <w:pPr>
        <w:ind w:left="1020" w:hanging="360"/>
      </w:pPr>
    </w:lvl>
    <w:lvl w:ilvl="6" w:tplc="9B58EC78">
      <w:start w:val="1"/>
      <w:numFmt w:val="decimal"/>
      <w:lvlText w:val="%7)"/>
      <w:lvlJc w:val="left"/>
      <w:pPr>
        <w:ind w:left="1020" w:hanging="360"/>
      </w:pPr>
    </w:lvl>
    <w:lvl w:ilvl="7" w:tplc="43B044EC">
      <w:start w:val="1"/>
      <w:numFmt w:val="decimal"/>
      <w:lvlText w:val="%8)"/>
      <w:lvlJc w:val="left"/>
      <w:pPr>
        <w:ind w:left="1020" w:hanging="360"/>
      </w:pPr>
    </w:lvl>
    <w:lvl w:ilvl="8" w:tplc="7FEA9A70">
      <w:start w:val="1"/>
      <w:numFmt w:val="decimal"/>
      <w:lvlText w:val="%9)"/>
      <w:lvlJc w:val="left"/>
      <w:pPr>
        <w:ind w:left="1020" w:hanging="360"/>
      </w:pPr>
    </w:lvl>
  </w:abstractNum>
  <w:abstractNum w:abstractNumId="2" w15:restartNumberingAfterBreak="0">
    <w:nsid w:val="04060B7D"/>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694FF1"/>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4"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5" w15:restartNumberingAfterBreak="0">
    <w:nsid w:val="0E197B0D"/>
    <w:multiLevelType w:val="hybridMultilevel"/>
    <w:tmpl w:val="EE142E82"/>
    <w:lvl w:ilvl="0" w:tplc="9E524B0C">
      <w:start w:val="1"/>
      <w:numFmt w:val="decimal"/>
      <w:lvlText w:val="%1)"/>
      <w:lvlJc w:val="left"/>
      <w:pPr>
        <w:ind w:left="1020" w:hanging="360"/>
      </w:pPr>
    </w:lvl>
    <w:lvl w:ilvl="1" w:tplc="927C3356">
      <w:start w:val="1"/>
      <w:numFmt w:val="decimal"/>
      <w:lvlText w:val="%2)"/>
      <w:lvlJc w:val="left"/>
      <w:pPr>
        <w:ind w:left="1020" w:hanging="360"/>
      </w:pPr>
    </w:lvl>
    <w:lvl w:ilvl="2" w:tplc="E8F4955E">
      <w:start w:val="1"/>
      <w:numFmt w:val="decimal"/>
      <w:lvlText w:val="%3)"/>
      <w:lvlJc w:val="left"/>
      <w:pPr>
        <w:ind w:left="1020" w:hanging="360"/>
      </w:pPr>
    </w:lvl>
    <w:lvl w:ilvl="3" w:tplc="A1B655D0">
      <w:start w:val="1"/>
      <w:numFmt w:val="decimal"/>
      <w:lvlText w:val="%4)"/>
      <w:lvlJc w:val="left"/>
      <w:pPr>
        <w:ind w:left="1020" w:hanging="360"/>
      </w:pPr>
    </w:lvl>
    <w:lvl w:ilvl="4" w:tplc="66D20394">
      <w:start w:val="1"/>
      <w:numFmt w:val="decimal"/>
      <w:lvlText w:val="%5)"/>
      <w:lvlJc w:val="left"/>
      <w:pPr>
        <w:ind w:left="1020" w:hanging="360"/>
      </w:pPr>
    </w:lvl>
    <w:lvl w:ilvl="5" w:tplc="BC769050">
      <w:start w:val="1"/>
      <w:numFmt w:val="decimal"/>
      <w:lvlText w:val="%6)"/>
      <w:lvlJc w:val="left"/>
      <w:pPr>
        <w:ind w:left="1020" w:hanging="360"/>
      </w:pPr>
    </w:lvl>
    <w:lvl w:ilvl="6" w:tplc="F71A3084">
      <w:start w:val="1"/>
      <w:numFmt w:val="decimal"/>
      <w:lvlText w:val="%7)"/>
      <w:lvlJc w:val="left"/>
      <w:pPr>
        <w:ind w:left="1020" w:hanging="360"/>
      </w:pPr>
    </w:lvl>
    <w:lvl w:ilvl="7" w:tplc="A34045E6">
      <w:start w:val="1"/>
      <w:numFmt w:val="decimal"/>
      <w:lvlText w:val="%8)"/>
      <w:lvlJc w:val="left"/>
      <w:pPr>
        <w:ind w:left="1020" w:hanging="360"/>
      </w:pPr>
    </w:lvl>
    <w:lvl w:ilvl="8" w:tplc="D872149A">
      <w:start w:val="1"/>
      <w:numFmt w:val="decimal"/>
      <w:lvlText w:val="%9)"/>
      <w:lvlJc w:val="left"/>
      <w:pPr>
        <w:ind w:left="1020" w:hanging="360"/>
      </w:pPr>
    </w:lvl>
  </w:abstractNum>
  <w:abstractNum w:abstractNumId="6"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7"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39C426F"/>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9"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0B8308D"/>
    <w:multiLevelType w:val="hybridMultilevel"/>
    <w:tmpl w:val="C93CB61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2" w15:restartNumberingAfterBreak="0">
    <w:nsid w:val="41117B1B"/>
    <w:multiLevelType w:val="hybridMultilevel"/>
    <w:tmpl w:val="F55EA68A"/>
    <w:lvl w:ilvl="0" w:tplc="29E0C50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3" w15:restartNumberingAfterBreak="0">
    <w:nsid w:val="47821657"/>
    <w:multiLevelType w:val="hybridMultilevel"/>
    <w:tmpl w:val="CF92C59E"/>
    <w:lvl w:ilvl="0" w:tplc="65D4EF82">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6"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E25132F"/>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3988287">
    <w:abstractNumId w:val="9"/>
  </w:num>
  <w:num w:numId="2" w16cid:durableId="66001806">
    <w:abstractNumId w:val="0"/>
  </w:num>
  <w:num w:numId="3" w16cid:durableId="1474834947">
    <w:abstractNumId w:val="16"/>
  </w:num>
  <w:num w:numId="4" w16cid:durableId="995378933">
    <w:abstractNumId w:val="15"/>
  </w:num>
  <w:num w:numId="5" w16cid:durableId="610938957">
    <w:abstractNumId w:val="4"/>
  </w:num>
  <w:num w:numId="6" w16cid:durableId="1992098003">
    <w:abstractNumId w:val="7"/>
  </w:num>
  <w:num w:numId="7" w16cid:durableId="1446123305">
    <w:abstractNumId w:val="11"/>
  </w:num>
  <w:num w:numId="8" w16cid:durableId="2020306951">
    <w:abstractNumId w:val="6"/>
  </w:num>
  <w:num w:numId="9" w16cid:durableId="1794595051">
    <w:abstractNumId w:val="8"/>
  </w:num>
  <w:num w:numId="10" w16cid:durableId="346904055">
    <w:abstractNumId w:val="3"/>
  </w:num>
  <w:num w:numId="11" w16cid:durableId="765492621">
    <w:abstractNumId w:val="14"/>
  </w:num>
  <w:num w:numId="12" w16cid:durableId="1895777759">
    <w:abstractNumId w:val="2"/>
  </w:num>
  <w:num w:numId="13" w16cid:durableId="597106636">
    <w:abstractNumId w:val="12"/>
  </w:num>
  <w:num w:numId="14" w16cid:durableId="594678433">
    <w:abstractNumId w:val="17"/>
  </w:num>
  <w:num w:numId="15" w16cid:durableId="39792824">
    <w:abstractNumId w:val="13"/>
  </w:num>
  <w:num w:numId="16" w16cid:durableId="987591086">
    <w:abstractNumId w:val="10"/>
  </w:num>
  <w:num w:numId="17" w16cid:durableId="1531456673">
    <w:abstractNumId w:val="5"/>
  </w:num>
  <w:num w:numId="18" w16cid:durableId="4877905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BA7"/>
    <w:rsid w:val="00002BCB"/>
    <w:rsid w:val="000033A4"/>
    <w:rsid w:val="00005CBA"/>
    <w:rsid w:val="00007625"/>
    <w:rsid w:val="00011073"/>
    <w:rsid w:val="00011527"/>
    <w:rsid w:val="0001158A"/>
    <w:rsid w:val="00011E6A"/>
    <w:rsid w:val="000128D4"/>
    <w:rsid w:val="00013F7A"/>
    <w:rsid w:val="00015F04"/>
    <w:rsid w:val="00016559"/>
    <w:rsid w:val="00016CFF"/>
    <w:rsid w:val="00017EBF"/>
    <w:rsid w:val="00020E1E"/>
    <w:rsid w:val="00022061"/>
    <w:rsid w:val="00023D0D"/>
    <w:rsid w:val="00025657"/>
    <w:rsid w:val="00026037"/>
    <w:rsid w:val="00026C7F"/>
    <w:rsid w:val="00031030"/>
    <w:rsid w:val="00031AAF"/>
    <w:rsid w:val="000346F9"/>
    <w:rsid w:val="00040F28"/>
    <w:rsid w:val="00043BB1"/>
    <w:rsid w:val="00044039"/>
    <w:rsid w:val="000457D9"/>
    <w:rsid w:val="000460F0"/>
    <w:rsid w:val="00046130"/>
    <w:rsid w:val="00046B32"/>
    <w:rsid w:val="00051FF1"/>
    <w:rsid w:val="000546BD"/>
    <w:rsid w:val="00055599"/>
    <w:rsid w:val="000569F4"/>
    <w:rsid w:val="00056B91"/>
    <w:rsid w:val="0005752D"/>
    <w:rsid w:val="000651A4"/>
    <w:rsid w:val="00070B88"/>
    <w:rsid w:val="00071E26"/>
    <w:rsid w:val="0007692E"/>
    <w:rsid w:val="00086723"/>
    <w:rsid w:val="000916EA"/>
    <w:rsid w:val="00094F5F"/>
    <w:rsid w:val="00097B89"/>
    <w:rsid w:val="000A1E24"/>
    <w:rsid w:val="000A2048"/>
    <w:rsid w:val="000A2BA1"/>
    <w:rsid w:val="000B27B4"/>
    <w:rsid w:val="000B6C81"/>
    <w:rsid w:val="000C0126"/>
    <w:rsid w:val="000C0D4C"/>
    <w:rsid w:val="000C158C"/>
    <w:rsid w:val="000C2B69"/>
    <w:rsid w:val="000C3784"/>
    <w:rsid w:val="000C5C68"/>
    <w:rsid w:val="000C77FF"/>
    <w:rsid w:val="000D1ADA"/>
    <w:rsid w:val="000D4CBC"/>
    <w:rsid w:val="000E0577"/>
    <w:rsid w:val="000E346A"/>
    <w:rsid w:val="000E3AFF"/>
    <w:rsid w:val="000F0ED6"/>
    <w:rsid w:val="000F29AA"/>
    <w:rsid w:val="000F3ABE"/>
    <w:rsid w:val="000F4375"/>
    <w:rsid w:val="000F5E18"/>
    <w:rsid w:val="000F6250"/>
    <w:rsid w:val="000F7131"/>
    <w:rsid w:val="000F7294"/>
    <w:rsid w:val="00100804"/>
    <w:rsid w:val="00100870"/>
    <w:rsid w:val="00100B55"/>
    <w:rsid w:val="0010366B"/>
    <w:rsid w:val="001038B2"/>
    <w:rsid w:val="00105FBE"/>
    <w:rsid w:val="0011062E"/>
    <w:rsid w:val="00110805"/>
    <w:rsid w:val="00110D41"/>
    <w:rsid w:val="001120C9"/>
    <w:rsid w:val="00114B2A"/>
    <w:rsid w:val="001215E9"/>
    <w:rsid w:val="00123B5A"/>
    <w:rsid w:val="00131096"/>
    <w:rsid w:val="001310B1"/>
    <w:rsid w:val="00132833"/>
    <w:rsid w:val="00133AA4"/>
    <w:rsid w:val="00133DD1"/>
    <w:rsid w:val="00141AB9"/>
    <w:rsid w:val="00141F7E"/>
    <w:rsid w:val="00147E1C"/>
    <w:rsid w:val="0015034B"/>
    <w:rsid w:val="00155273"/>
    <w:rsid w:val="00160409"/>
    <w:rsid w:val="0016071E"/>
    <w:rsid w:val="00164E1A"/>
    <w:rsid w:val="00167CDF"/>
    <w:rsid w:val="0017269A"/>
    <w:rsid w:val="00172B56"/>
    <w:rsid w:val="00175EE7"/>
    <w:rsid w:val="00180153"/>
    <w:rsid w:val="00191D5C"/>
    <w:rsid w:val="00193502"/>
    <w:rsid w:val="001964C0"/>
    <w:rsid w:val="001A0DD7"/>
    <w:rsid w:val="001B08A2"/>
    <w:rsid w:val="001B4086"/>
    <w:rsid w:val="001B6287"/>
    <w:rsid w:val="001B7557"/>
    <w:rsid w:val="001C4B26"/>
    <w:rsid w:val="001C51F0"/>
    <w:rsid w:val="001C6278"/>
    <w:rsid w:val="001C6576"/>
    <w:rsid w:val="001D0A40"/>
    <w:rsid w:val="001D12DE"/>
    <w:rsid w:val="001D15F6"/>
    <w:rsid w:val="001D3420"/>
    <w:rsid w:val="001D3FEB"/>
    <w:rsid w:val="001E2E7A"/>
    <w:rsid w:val="001E3896"/>
    <w:rsid w:val="001E5AFF"/>
    <w:rsid w:val="001E718D"/>
    <w:rsid w:val="001E7AF1"/>
    <w:rsid w:val="001E7E15"/>
    <w:rsid w:val="001F069D"/>
    <w:rsid w:val="001F3F21"/>
    <w:rsid w:val="001F4690"/>
    <w:rsid w:val="001F55A2"/>
    <w:rsid w:val="001F6F78"/>
    <w:rsid w:val="00200EC7"/>
    <w:rsid w:val="00201593"/>
    <w:rsid w:val="00202AFF"/>
    <w:rsid w:val="00202BC7"/>
    <w:rsid w:val="00207DA3"/>
    <w:rsid w:val="002134DD"/>
    <w:rsid w:val="00214E91"/>
    <w:rsid w:val="0021534E"/>
    <w:rsid w:val="00220CBD"/>
    <w:rsid w:val="0022224A"/>
    <w:rsid w:val="00226480"/>
    <w:rsid w:val="00227386"/>
    <w:rsid w:val="00230BAF"/>
    <w:rsid w:val="0023330A"/>
    <w:rsid w:val="002359D1"/>
    <w:rsid w:val="00236693"/>
    <w:rsid w:val="00237A0A"/>
    <w:rsid w:val="002405A7"/>
    <w:rsid w:val="00245C21"/>
    <w:rsid w:val="00250CBD"/>
    <w:rsid w:val="002522C7"/>
    <w:rsid w:val="00253E4A"/>
    <w:rsid w:val="002541C0"/>
    <w:rsid w:val="00257CA0"/>
    <w:rsid w:val="00260E91"/>
    <w:rsid w:val="00261400"/>
    <w:rsid w:val="00262330"/>
    <w:rsid w:val="00264914"/>
    <w:rsid w:val="0027183C"/>
    <w:rsid w:val="00276C94"/>
    <w:rsid w:val="00280000"/>
    <w:rsid w:val="0028218F"/>
    <w:rsid w:val="002821EA"/>
    <w:rsid w:val="00284D38"/>
    <w:rsid w:val="002855C4"/>
    <w:rsid w:val="00286B90"/>
    <w:rsid w:val="0028721D"/>
    <w:rsid w:val="00296A1E"/>
    <w:rsid w:val="00296D06"/>
    <w:rsid w:val="00297444"/>
    <w:rsid w:val="002A1170"/>
    <w:rsid w:val="002A1DAC"/>
    <w:rsid w:val="002A4B2B"/>
    <w:rsid w:val="002A7436"/>
    <w:rsid w:val="002A7D54"/>
    <w:rsid w:val="002B382B"/>
    <w:rsid w:val="002B3947"/>
    <w:rsid w:val="002C058B"/>
    <w:rsid w:val="002C0712"/>
    <w:rsid w:val="002C10BB"/>
    <w:rsid w:val="002C2396"/>
    <w:rsid w:val="002C2A7E"/>
    <w:rsid w:val="002C3E3C"/>
    <w:rsid w:val="002C409A"/>
    <w:rsid w:val="002D17C7"/>
    <w:rsid w:val="002D62BB"/>
    <w:rsid w:val="002D6C64"/>
    <w:rsid w:val="002D7927"/>
    <w:rsid w:val="002E2076"/>
    <w:rsid w:val="002E6B3F"/>
    <w:rsid w:val="002F002C"/>
    <w:rsid w:val="002F30E4"/>
    <w:rsid w:val="002F607C"/>
    <w:rsid w:val="002F6857"/>
    <w:rsid w:val="002F77FB"/>
    <w:rsid w:val="00302044"/>
    <w:rsid w:val="00306230"/>
    <w:rsid w:val="00306672"/>
    <w:rsid w:val="00310EDD"/>
    <w:rsid w:val="003113D5"/>
    <w:rsid w:val="003134F1"/>
    <w:rsid w:val="0032076B"/>
    <w:rsid w:val="00321D05"/>
    <w:rsid w:val="003231B3"/>
    <w:rsid w:val="00326362"/>
    <w:rsid w:val="00331BC3"/>
    <w:rsid w:val="0033661A"/>
    <w:rsid w:val="00337727"/>
    <w:rsid w:val="00341646"/>
    <w:rsid w:val="00342AF3"/>
    <w:rsid w:val="003447BE"/>
    <w:rsid w:val="003568B0"/>
    <w:rsid w:val="0035787E"/>
    <w:rsid w:val="00366E75"/>
    <w:rsid w:val="00370DA6"/>
    <w:rsid w:val="00374AC8"/>
    <w:rsid w:val="00376741"/>
    <w:rsid w:val="0038189C"/>
    <w:rsid w:val="00384614"/>
    <w:rsid w:val="00386D44"/>
    <w:rsid w:val="00393061"/>
    <w:rsid w:val="003930E2"/>
    <w:rsid w:val="003978C0"/>
    <w:rsid w:val="003A1DB0"/>
    <w:rsid w:val="003A3DAC"/>
    <w:rsid w:val="003A5B12"/>
    <w:rsid w:val="003A6361"/>
    <w:rsid w:val="003B1F09"/>
    <w:rsid w:val="003B25C0"/>
    <w:rsid w:val="003C08FF"/>
    <w:rsid w:val="003C3E41"/>
    <w:rsid w:val="003C653B"/>
    <w:rsid w:val="003C7FA2"/>
    <w:rsid w:val="003D195A"/>
    <w:rsid w:val="003D2EFB"/>
    <w:rsid w:val="003D5703"/>
    <w:rsid w:val="003D6EDD"/>
    <w:rsid w:val="003E7A38"/>
    <w:rsid w:val="003F3117"/>
    <w:rsid w:val="003F4CCA"/>
    <w:rsid w:val="003F511D"/>
    <w:rsid w:val="003F6C76"/>
    <w:rsid w:val="003F7A1F"/>
    <w:rsid w:val="004009AF"/>
    <w:rsid w:val="00406646"/>
    <w:rsid w:val="004069D7"/>
    <w:rsid w:val="00415E32"/>
    <w:rsid w:val="00415F0F"/>
    <w:rsid w:val="00417B47"/>
    <w:rsid w:val="00420E5E"/>
    <w:rsid w:val="004228C1"/>
    <w:rsid w:val="004239E4"/>
    <w:rsid w:val="00424089"/>
    <w:rsid w:val="00425111"/>
    <w:rsid w:val="00427EFC"/>
    <w:rsid w:val="00440995"/>
    <w:rsid w:val="004457B0"/>
    <w:rsid w:val="00447D0E"/>
    <w:rsid w:val="00450D45"/>
    <w:rsid w:val="0045194F"/>
    <w:rsid w:val="0045291E"/>
    <w:rsid w:val="0045317F"/>
    <w:rsid w:val="00453F22"/>
    <w:rsid w:val="004544FD"/>
    <w:rsid w:val="004606CC"/>
    <w:rsid w:val="004607F0"/>
    <w:rsid w:val="00460E2E"/>
    <w:rsid w:val="004676EA"/>
    <w:rsid w:val="004712F1"/>
    <w:rsid w:val="0047310B"/>
    <w:rsid w:val="00475B71"/>
    <w:rsid w:val="0048168F"/>
    <w:rsid w:val="004826F2"/>
    <w:rsid w:val="00482DA3"/>
    <w:rsid w:val="00483980"/>
    <w:rsid w:val="00484062"/>
    <w:rsid w:val="00484BD5"/>
    <w:rsid w:val="00484CFB"/>
    <w:rsid w:val="0048525E"/>
    <w:rsid w:val="004920FA"/>
    <w:rsid w:val="00492A77"/>
    <w:rsid w:val="00496BCF"/>
    <w:rsid w:val="00497C64"/>
    <w:rsid w:val="004A1DC3"/>
    <w:rsid w:val="004A2553"/>
    <w:rsid w:val="004A54B4"/>
    <w:rsid w:val="004B1143"/>
    <w:rsid w:val="004B1569"/>
    <w:rsid w:val="004B6ED3"/>
    <w:rsid w:val="004C112D"/>
    <w:rsid w:val="004C1909"/>
    <w:rsid w:val="004C20DA"/>
    <w:rsid w:val="004C233F"/>
    <w:rsid w:val="004C2AB3"/>
    <w:rsid w:val="004C4E47"/>
    <w:rsid w:val="004D0490"/>
    <w:rsid w:val="004D25FC"/>
    <w:rsid w:val="004D40FF"/>
    <w:rsid w:val="004D5195"/>
    <w:rsid w:val="004D5704"/>
    <w:rsid w:val="004E28AA"/>
    <w:rsid w:val="004E66B5"/>
    <w:rsid w:val="004E6BCE"/>
    <w:rsid w:val="004F01AD"/>
    <w:rsid w:val="004F02A7"/>
    <w:rsid w:val="004F1047"/>
    <w:rsid w:val="004F2CCA"/>
    <w:rsid w:val="004F3B9D"/>
    <w:rsid w:val="004F3EC2"/>
    <w:rsid w:val="004F5048"/>
    <w:rsid w:val="004F52AE"/>
    <w:rsid w:val="004F5B9C"/>
    <w:rsid w:val="004F5DA7"/>
    <w:rsid w:val="004F7AA5"/>
    <w:rsid w:val="005005A6"/>
    <w:rsid w:val="00500796"/>
    <w:rsid w:val="00501AD1"/>
    <w:rsid w:val="005079B0"/>
    <w:rsid w:val="00511299"/>
    <w:rsid w:val="005148B5"/>
    <w:rsid w:val="005167A1"/>
    <w:rsid w:val="00516ADD"/>
    <w:rsid w:val="00517E8B"/>
    <w:rsid w:val="0052442B"/>
    <w:rsid w:val="00526DB7"/>
    <w:rsid w:val="00530FE0"/>
    <w:rsid w:val="005329F4"/>
    <w:rsid w:val="005333C9"/>
    <w:rsid w:val="00533B01"/>
    <w:rsid w:val="00533B50"/>
    <w:rsid w:val="00535960"/>
    <w:rsid w:val="00541ECF"/>
    <w:rsid w:val="00545CC7"/>
    <w:rsid w:val="00550114"/>
    <w:rsid w:val="0055074B"/>
    <w:rsid w:val="0055241A"/>
    <w:rsid w:val="00554136"/>
    <w:rsid w:val="005554D7"/>
    <w:rsid w:val="00556D06"/>
    <w:rsid w:val="005618CE"/>
    <w:rsid w:val="005619C0"/>
    <w:rsid w:val="00561BA6"/>
    <w:rsid w:val="00561E86"/>
    <w:rsid w:val="00563287"/>
    <w:rsid w:val="00563D38"/>
    <w:rsid w:val="00567A9C"/>
    <w:rsid w:val="00570818"/>
    <w:rsid w:val="00575104"/>
    <w:rsid w:val="00581381"/>
    <w:rsid w:val="00583F25"/>
    <w:rsid w:val="005859D9"/>
    <w:rsid w:val="00586CFC"/>
    <w:rsid w:val="0058754A"/>
    <w:rsid w:val="00591CBF"/>
    <w:rsid w:val="00592726"/>
    <w:rsid w:val="0059483B"/>
    <w:rsid w:val="00594A00"/>
    <w:rsid w:val="005970F5"/>
    <w:rsid w:val="005A4392"/>
    <w:rsid w:val="005A4DDD"/>
    <w:rsid w:val="005B26BA"/>
    <w:rsid w:val="005B36FC"/>
    <w:rsid w:val="005C49E0"/>
    <w:rsid w:val="005C6368"/>
    <w:rsid w:val="005D0C40"/>
    <w:rsid w:val="005D2F2A"/>
    <w:rsid w:val="005D36EC"/>
    <w:rsid w:val="005D686F"/>
    <w:rsid w:val="005D6FC6"/>
    <w:rsid w:val="005D793C"/>
    <w:rsid w:val="005D7B29"/>
    <w:rsid w:val="005E1DBA"/>
    <w:rsid w:val="005E2A59"/>
    <w:rsid w:val="005E3382"/>
    <w:rsid w:val="005E3DF1"/>
    <w:rsid w:val="005E7AB1"/>
    <w:rsid w:val="005F0919"/>
    <w:rsid w:val="005F10BB"/>
    <w:rsid w:val="005F1F10"/>
    <w:rsid w:val="005F2124"/>
    <w:rsid w:val="005F319A"/>
    <w:rsid w:val="005F4ECC"/>
    <w:rsid w:val="005F58E8"/>
    <w:rsid w:val="005F660A"/>
    <w:rsid w:val="005F67CC"/>
    <w:rsid w:val="005F7915"/>
    <w:rsid w:val="005F7A8B"/>
    <w:rsid w:val="006055D6"/>
    <w:rsid w:val="006064AD"/>
    <w:rsid w:val="0061086B"/>
    <w:rsid w:val="00613947"/>
    <w:rsid w:val="00613D58"/>
    <w:rsid w:val="00616F84"/>
    <w:rsid w:val="006170AC"/>
    <w:rsid w:val="006218CC"/>
    <w:rsid w:val="00621F4F"/>
    <w:rsid w:val="00624231"/>
    <w:rsid w:val="006248DB"/>
    <w:rsid w:val="00631E97"/>
    <w:rsid w:val="00634938"/>
    <w:rsid w:val="0063542F"/>
    <w:rsid w:val="00642CBC"/>
    <w:rsid w:val="00643DB8"/>
    <w:rsid w:val="00643F90"/>
    <w:rsid w:val="0064420F"/>
    <w:rsid w:val="00646AD1"/>
    <w:rsid w:val="0065104E"/>
    <w:rsid w:val="00651BFE"/>
    <w:rsid w:val="006570A1"/>
    <w:rsid w:val="00660A1C"/>
    <w:rsid w:val="00660A87"/>
    <w:rsid w:val="00660BB1"/>
    <w:rsid w:val="00660F6C"/>
    <w:rsid w:val="00661EC6"/>
    <w:rsid w:val="00662AB8"/>
    <w:rsid w:val="00664457"/>
    <w:rsid w:val="00671872"/>
    <w:rsid w:val="00680242"/>
    <w:rsid w:val="00680366"/>
    <w:rsid w:val="00682971"/>
    <w:rsid w:val="0068362A"/>
    <w:rsid w:val="00685523"/>
    <w:rsid w:val="00685AE6"/>
    <w:rsid w:val="00685E8D"/>
    <w:rsid w:val="00690481"/>
    <w:rsid w:val="006904A3"/>
    <w:rsid w:val="0069208D"/>
    <w:rsid w:val="00692A15"/>
    <w:rsid w:val="006A0234"/>
    <w:rsid w:val="006A1E74"/>
    <w:rsid w:val="006A2A11"/>
    <w:rsid w:val="006A4A2E"/>
    <w:rsid w:val="006A4D71"/>
    <w:rsid w:val="006B2A55"/>
    <w:rsid w:val="006B2FDB"/>
    <w:rsid w:val="006B3421"/>
    <w:rsid w:val="006B461C"/>
    <w:rsid w:val="006B4F70"/>
    <w:rsid w:val="006C3828"/>
    <w:rsid w:val="006C429D"/>
    <w:rsid w:val="006C57E6"/>
    <w:rsid w:val="006C5842"/>
    <w:rsid w:val="006C72AD"/>
    <w:rsid w:val="006D0296"/>
    <w:rsid w:val="006D0D37"/>
    <w:rsid w:val="006D1B49"/>
    <w:rsid w:val="006D2A84"/>
    <w:rsid w:val="006D5A35"/>
    <w:rsid w:val="006E1FF9"/>
    <w:rsid w:val="006E4020"/>
    <w:rsid w:val="006E47E9"/>
    <w:rsid w:val="006F2A9E"/>
    <w:rsid w:val="006F7B9A"/>
    <w:rsid w:val="00700888"/>
    <w:rsid w:val="007021CC"/>
    <w:rsid w:val="00703F68"/>
    <w:rsid w:val="0071033A"/>
    <w:rsid w:val="007112FE"/>
    <w:rsid w:val="007115C3"/>
    <w:rsid w:val="00716CA2"/>
    <w:rsid w:val="007218F1"/>
    <w:rsid w:val="007223D9"/>
    <w:rsid w:val="00722DEF"/>
    <w:rsid w:val="00732243"/>
    <w:rsid w:val="007357DC"/>
    <w:rsid w:val="00737E9C"/>
    <w:rsid w:val="00740596"/>
    <w:rsid w:val="00741416"/>
    <w:rsid w:val="00742F43"/>
    <w:rsid w:val="00745442"/>
    <w:rsid w:val="00746B48"/>
    <w:rsid w:val="007471E3"/>
    <w:rsid w:val="0074791A"/>
    <w:rsid w:val="0075531E"/>
    <w:rsid w:val="00757B75"/>
    <w:rsid w:val="007676EA"/>
    <w:rsid w:val="00767878"/>
    <w:rsid w:val="00773EED"/>
    <w:rsid w:val="007816B1"/>
    <w:rsid w:val="00781A3E"/>
    <w:rsid w:val="00790887"/>
    <w:rsid w:val="00792ADE"/>
    <w:rsid w:val="00794470"/>
    <w:rsid w:val="00794EAF"/>
    <w:rsid w:val="0079577C"/>
    <w:rsid w:val="00796745"/>
    <w:rsid w:val="007A176E"/>
    <w:rsid w:val="007B13FC"/>
    <w:rsid w:val="007B15A3"/>
    <w:rsid w:val="007B1B00"/>
    <w:rsid w:val="007B2A2B"/>
    <w:rsid w:val="007B315A"/>
    <w:rsid w:val="007B3F99"/>
    <w:rsid w:val="007B49FC"/>
    <w:rsid w:val="007B5EB5"/>
    <w:rsid w:val="007B75B9"/>
    <w:rsid w:val="007B7B16"/>
    <w:rsid w:val="007B7C21"/>
    <w:rsid w:val="007C300A"/>
    <w:rsid w:val="007C7D57"/>
    <w:rsid w:val="007D1EBF"/>
    <w:rsid w:val="007D223B"/>
    <w:rsid w:val="007D3112"/>
    <w:rsid w:val="007D4BE3"/>
    <w:rsid w:val="007E0362"/>
    <w:rsid w:val="007E0BD3"/>
    <w:rsid w:val="007E125A"/>
    <w:rsid w:val="007E378B"/>
    <w:rsid w:val="007E3AB6"/>
    <w:rsid w:val="007E4051"/>
    <w:rsid w:val="007E452C"/>
    <w:rsid w:val="007E4C19"/>
    <w:rsid w:val="007E520B"/>
    <w:rsid w:val="007F1630"/>
    <w:rsid w:val="007F1C0E"/>
    <w:rsid w:val="007F1C71"/>
    <w:rsid w:val="007F2955"/>
    <w:rsid w:val="007F2988"/>
    <w:rsid w:val="007F4D10"/>
    <w:rsid w:val="007F72B4"/>
    <w:rsid w:val="008014BA"/>
    <w:rsid w:val="00804C24"/>
    <w:rsid w:val="00812050"/>
    <w:rsid w:val="008141E0"/>
    <w:rsid w:val="00817DDC"/>
    <w:rsid w:val="0082342F"/>
    <w:rsid w:val="0082704A"/>
    <w:rsid w:val="00827CC2"/>
    <w:rsid w:val="00830973"/>
    <w:rsid w:val="00830C70"/>
    <w:rsid w:val="00831F05"/>
    <w:rsid w:val="008342B7"/>
    <w:rsid w:val="0083448C"/>
    <w:rsid w:val="008347DA"/>
    <w:rsid w:val="008354FA"/>
    <w:rsid w:val="008355BB"/>
    <w:rsid w:val="0083648E"/>
    <w:rsid w:val="00841A2A"/>
    <w:rsid w:val="00842DAA"/>
    <w:rsid w:val="008433D4"/>
    <w:rsid w:val="008471F6"/>
    <w:rsid w:val="00854255"/>
    <w:rsid w:val="0086087C"/>
    <w:rsid w:val="00861217"/>
    <w:rsid w:val="00861FCB"/>
    <w:rsid w:val="0086200A"/>
    <w:rsid w:val="0086312A"/>
    <w:rsid w:val="00863C7B"/>
    <w:rsid w:val="008730EE"/>
    <w:rsid w:val="00873448"/>
    <w:rsid w:val="00875D2F"/>
    <w:rsid w:val="008778BB"/>
    <w:rsid w:val="00880843"/>
    <w:rsid w:val="008812FC"/>
    <w:rsid w:val="0088143D"/>
    <w:rsid w:val="00881F26"/>
    <w:rsid w:val="00882736"/>
    <w:rsid w:val="00882B68"/>
    <w:rsid w:val="00883EEF"/>
    <w:rsid w:val="00887CBC"/>
    <w:rsid w:val="008903D6"/>
    <w:rsid w:val="008929B8"/>
    <w:rsid w:val="00894480"/>
    <w:rsid w:val="00894D21"/>
    <w:rsid w:val="00895104"/>
    <w:rsid w:val="00896DBD"/>
    <w:rsid w:val="00897948"/>
    <w:rsid w:val="00897A62"/>
    <w:rsid w:val="00897CC6"/>
    <w:rsid w:val="008A2C37"/>
    <w:rsid w:val="008A3468"/>
    <w:rsid w:val="008A3794"/>
    <w:rsid w:val="008A5018"/>
    <w:rsid w:val="008A5438"/>
    <w:rsid w:val="008A5DD6"/>
    <w:rsid w:val="008B0683"/>
    <w:rsid w:val="008B090E"/>
    <w:rsid w:val="008B1929"/>
    <w:rsid w:val="008B3C23"/>
    <w:rsid w:val="008B6A17"/>
    <w:rsid w:val="008B702A"/>
    <w:rsid w:val="008C6EEC"/>
    <w:rsid w:val="008D0C1B"/>
    <w:rsid w:val="008D0DC2"/>
    <w:rsid w:val="008D58BD"/>
    <w:rsid w:val="008E1212"/>
    <w:rsid w:val="008E5DA7"/>
    <w:rsid w:val="008F1372"/>
    <w:rsid w:val="008F1F8A"/>
    <w:rsid w:val="008F729E"/>
    <w:rsid w:val="00901061"/>
    <w:rsid w:val="0090117F"/>
    <w:rsid w:val="0090232B"/>
    <w:rsid w:val="00907E79"/>
    <w:rsid w:val="00907EE5"/>
    <w:rsid w:val="00911F03"/>
    <w:rsid w:val="00916EC1"/>
    <w:rsid w:val="00921630"/>
    <w:rsid w:val="0092266E"/>
    <w:rsid w:val="009226BF"/>
    <w:rsid w:val="00922B4A"/>
    <w:rsid w:val="00930631"/>
    <w:rsid w:val="0093282C"/>
    <w:rsid w:val="00933239"/>
    <w:rsid w:val="00940F10"/>
    <w:rsid w:val="00945BEA"/>
    <w:rsid w:val="00951C31"/>
    <w:rsid w:val="00954BD6"/>
    <w:rsid w:val="00954C36"/>
    <w:rsid w:val="00955419"/>
    <w:rsid w:val="009607EA"/>
    <w:rsid w:val="0096545F"/>
    <w:rsid w:val="00965525"/>
    <w:rsid w:val="00972EE3"/>
    <w:rsid w:val="00974CF6"/>
    <w:rsid w:val="0097512B"/>
    <w:rsid w:val="00975C81"/>
    <w:rsid w:val="00976833"/>
    <w:rsid w:val="0098127D"/>
    <w:rsid w:val="009818C1"/>
    <w:rsid w:val="0098291E"/>
    <w:rsid w:val="00984C9C"/>
    <w:rsid w:val="009856E1"/>
    <w:rsid w:val="00986340"/>
    <w:rsid w:val="00987457"/>
    <w:rsid w:val="0099023D"/>
    <w:rsid w:val="00990C7D"/>
    <w:rsid w:val="00993856"/>
    <w:rsid w:val="009A1427"/>
    <w:rsid w:val="009A2505"/>
    <w:rsid w:val="009A27C5"/>
    <w:rsid w:val="009A7F3C"/>
    <w:rsid w:val="009B1E0B"/>
    <w:rsid w:val="009C3E75"/>
    <w:rsid w:val="009D0104"/>
    <w:rsid w:val="009D13B7"/>
    <w:rsid w:val="009D2D30"/>
    <w:rsid w:val="009D4488"/>
    <w:rsid w:val="009D787C"/>
    <w:rsid w:val="009D799F"/>
    <w:rsid w:val="009E15BB"/>
    <w:rsid w:val="009E3C28"/>
    <w:rsid w:val="009E4874"/>
    <w:rsid w:val="009E7B0E"/>
    <w:rsid w:val="009F1D28"/>
    <w:rsid w:val="009F4C41"/>
    <w:rsid w:val="009F4DED"/>
    <w:rsid w:val="009F58E5"/>
    <w:rsid w:val="00A02D03"/>
    <w:rsid w:val="00A031C6"/>
    <w:rsid w:val="00A0462E"/>
    <w:rsid w:val="00A04E33"/>
    <w:rsid w:val="00A05DBA"/>
    <w:rsid w:val="00A06E04"/>
    <w:rsid w:val="00A07E5B"/>
    <w:rsid w:val="00A07F57"/>
    <w:rsid w:val="00A1035E"/>
    <w:rsid w:val="00A11613"/>
    <w:rsid w:val="00A222EC"/>
    <w:rsid w:val="00A223D6"/>
    <w:rsid w:val="00A3030C"/>
    <w:rsid w:val="00A3042C"/>
    <w:rsid w:val="00A31059"/>
    <w:rsid w:val="00A31765"/>
    <w:rsid w:val="00A31EC0"/>
    <w:rsid w:val="00A34D9A"/>
    <w:rsid w:val="00A35B78"/>
    <w:rsid w:val="00A35C14"/>
    <w:rsid w:val="00A37114"/>
    <w:rsid w:val="00A372E9"/>
    <w:rsid w:val="00A40E00"/>
    <w:rsid w:val="00A413F5"/>
    <w:rsid w:val="00A428D2"/>
    <w:rsid w:val="00A443D9"/>
    <w:rsid w:val="00A44A82"/>
    <w:rsid w:val="00A4569C"/>
    <w:rsid w:val="00A47B25"/>
    <w:rsid w:val="00A47EB1"/>
    <w:rsid w:val="00A50F6C"/>
    <w:rsid w:val="00A54733"/>
    <w:rsid w:val="00A56648"/>
    <w:rsid w:val="00A62B63"/>
    <w:rsid w:val="00A64349"/>
    <w:rsid w:val="00A66566"/>
    <w:rsid w:val="00A66EEF"/>
    <w:rsid w:val="00A673F4"/>
    <w:rsid w:val="00A67CD1"/>
    <w:rsid w:val="00A7604B"/>
    <w:rsid w:val="00A77915"/>
    <w:rsid w:val="00A82B2A"/>
    <w:rsid w:val="00A8548C"/>
    <w:rsid w:val="00A90189"/>
    <w:rsid w:val="00A90BD4"/>
    <w:rsid w:val="00A9492A"/>
    <w:rsid w:val="00A968A4"/>
    <w:rsid w:val="00AA074D"/>
    <w:rsid w:val="00AA2BB5"/>
    <w:rsid w:val="00AA2F5E"/>
    <w:rsid w:val="00AA5AB1"/>
    <w:rsid w:val="00AA7276"/>
    <w:rsid w:val="00AB25B1"/>
    <w:rsid w:val="00AB55C6"/>
    <w:rsid w:val="00AB66B0"/>
    <w:rsid w:val="00AB6738"/>
    <w:rsid w:val="00AB7167"/>
    <w:rsid w:val="00AC0505"/>
    <w:rsid w:val="00AC1A75"/>
    <w:rsid w:val="00AC1D96"/>
    <w:rsid w:val="00AC4761"/>
    <w:rsid w:val="00AC6261"/>
    <w:rsid w:val="00AD0DA2"/>
    <w:rsid w:val="00AD42FC"/>
    <w:rsid w:val="00AD5BE6"/>
    <w:rsid w:val="00AD6B42"/>
    <w:rsid w:val="00AD79E6"/>
    <w:rsid w:val="00AE07C5"/>
    <w:rsid w:val="00AE29E5"/>
    <w:rsid w:val="00AE4F02"/>
    <w:rsid w:val="00AE52D9"/>
    <w:rsid w:val="00AE64DD"/>
    <w:rsid w:val="00AF1013"/>
    <w:rsid w:val="00AF7147"/>
    <w:rsid w:val="00B00C35"/>
    <w:rsid w:val="00B01DB0"/>
    <w:rsid w:val="00B0470C"/>
    <w:rsid w:val="00B1460F"/>
    <w:rsid w:val="00B203C0"/>
    <w:rsid w:val="00B2111C"/>
    <w:rsid w:val="00B23A95"/>
    <w:rsid w:val="00B25316"/>
    <w:rsid w:val="00B25C30"/>
    <w:rsid w:val="00B25E9A"/>
    <w:rsid w:val="00B26309"/>
    <w:rsid w:val="00B26CA2"/>
    <w:rsid w:val="00B2773A"/>
    <w:rsid w:val="00B32147"/>
    <w:rsid w:val="00B36448"/>
    <w:rsid w:val="00B37735"/>
    <w:rsid w:val="00B4428F"/>
    <w:rsid w:val="00B45014"/>
    <w:rsid w:val="00B463D2"/>
    <w:rsid w:val="00B52652"/>
    <w:rsid w:val="00B538D8"/>
    <w:rsid w:val="00B545F9"/>
    <w:rsid w:val="00B55483"/>
    <w:rsid w:val="00B60307"/>
    <w:rsid w:val="00B609BE"/>
    <w:rsid w:val="00B62977"/>
    <w:rsid w:val="00B634A0"/>
    <w:rsid w:val="00B67892"/>
    <w:rsid w:val="00B71A08"/>
    <w:rsid w:val="00B71E28"/>
    <w:rsid w:val="00B73FB5"/>
    <w:rsid w:val="00B76CDA"/>
    <w:rsid w:val="00B77A4B"/>
    <w:rsid w:val="00B823AC"/>
    <w:rsid w:val="00B84028"/>
    <w:rsid w:val="00B86268"/>
    <w:rsid w:val="00B8646A"/>
    <w:rsid w:val="00B87348"/>
    <w:rsid w:val="00B873BB"/>
    <w:rsid w:val="00BA158A"/>
    <w:rsid w:val="00BA1636"/>
    <w:rsid w:val="00BA185A"/>
    <w:rsid w:val="00BA2695"/>
    <w:rsid w:val="00BA340F"/>
    <w:rsid w:val="00BA3DDB"/>
    <w:rsid w:val="00BA6414"/>
    <w:rsid w:val="00BA7271"/>
    <w:rsid w:val="00BA7799"/>
    <w:rsid w:val="00BA7EB2"/>
    <w:rsid w:val="00BB15E9"/>
    <w:rsid w:val="00BB1910"/>
    <w:rsid w:val="00BB4163"/>
    <w:rsid w:val="00BB43FE"/>
    <w:rsid w:val="00BB4736"/>
    <w:rsid w:val="00BC0CBB"/>
    <w:rsid w:val="00BC41FD"/>
    <w:rsid w:val="00BC69A0"/>
    <w:rsid w:val="00BD24BE"/>
    <w:rsid w:val="00BD3EDD"/>
    <w:rsid w:val="00BD4DF2"/>
    <w:rsid w:val="00BD6060"/>
    <w:rsid w:val="00BE026C"/>
    <w:rsid w:val="00BE099F"/>
    <w:rsid w:val="00BE1575"/>
    <w:rsid w:val="00BF3363"/>
    <w:rsid w:val="00BF37CB"/>
    <w:rsid w:val="00BF47B0"/>
    <w:rsid w:val="00BF7A99"/>
    <w:rsid w:val="00C00109"/>
    <w:rsid w:val="00C00A0B"/>
    <w:rsid w:val="00C027EF"/>
    <w:rsid w:val="00C02FD1"/>
    <w:rsid w:val="00C03D36"/>
    <w:rsid w:val="00C0473D"/>
    <w:rsid w:val="00C05B30"/>
    <w:rsid w:val="00C067BE"/>
    <w:rsid w:val="00C071E2"/>
    <w:rsid w:val="00C07E3E"/>
    <w:rsid w:val="00C100BE"/>
    <w:rsid w:val="00C107CB"/>
    <w:rsid w:val="00C115FD"/>
    <w:rsid w:val="00C158B3"/>
    <w:rsid w:val="00C15D72"/>
    <w:rsid w:val="00C17CB8"/>
    <w:rsid w:val="00C20122"/>
    <w:rsid w:val="00C22272"/>
    <w:rsid w:val="00C2291F"/>
    <w:rsid w:val="00C24C64"/>
    <w:rsid w:val="00C2524C"/>
    <w:rsid w:val="00C32023"/>
    <w:rsid w:val="00C32E5B"/>
    <w:rsid w:val="00C377E1"/>
    <w:rsid w:val="00C40452"/>
    <w:rsid w:val="00C41B5C"/>
    <w:rsid w:val="00C420E2"/>
    <w:rsid w:val="00C46E8B"/>
    <w:rsid w:val="00C46EFD"/>
    <w:rsid w:val="00C516D4"/>
    <w:rsid w:val="00C5179B"/>
    <w:rsid w:val="00C52588"/>
    <w:rsid w:val="00C53C67"/>
    <w:rsid w:val="00C601BD"/>
    <w:rsid w:val="00C60929"/>
    <w:rsid w:val="00C70EFE"/>
    <w:rsid w:val="00C710DD"/>
    <w:rsid w:val="00C74610"/>
    <w:rsid w:val="00C77159"/>
    <w:rsid w:val="00C81530"/>
    <w:rsid w:val="00C81906"/>
    <w:rsid w:val="00C8323B"/>
    <w:rsid w:val="00C86378"/>
    <w:rsid w:val="00C86CEC"/>
    <w:rsid w:val="00C92D8B"/>
    <w:rsid w:val="00C948CA"/>
    <w:rsid w:val="00C96BDD"/>
    <w:rsid w:val="00C97300"/>
    <w:rsid w:val="00CA24FD"/>
    <w:rsid w:val="00CA2A0A"/>
    <w:rsid w:val="00CA7A24"/>
    <w:rsid w:val="00CB559B"/>
    <w:rsid w:val="00CC0A3B"/>
    <w:rsid w:val="00CC124D"/>
    <w:rsid w:val="00CC1974"/>
    <w:rsid w:val="00CC2BC3"/>
    <w:rsid w:val="00CC47B6"/>
    <w:rsid w:val="00CC6538"/>
    <w:rsid w:val="00CD2DDA"/>
    <w:rsid w:val="00CD3645"/>
    <w:rsid w:val="00CD3E16"/>
    <w:rsid w:val="00CE1BD6"/>
    <w:rsid w:val="00CF2312"/>
    <w:rsid w:val="00CF3F5A"/>
    <w:rsid w:val="00CF74C0"/>
    <w:rsid w:val="00D06455"/>
    <w:rsid w:val="00D112A9"/>
    <w:rsid w:val="00D135C9"/>
    <w:rsid w:val="00D16368"/>
    <w:rsid w:val="00D22BCE"/>
    <w:rsid w:val="00D255A8"/>
    <w:rsid w:val="00D26E32"/>
    <w:rsid w:val="00D2743A"/>
    <w:rsid w:val="00D31BC2"/>
    <w:rsid w:val="00D33B7B"/>
    <w:rsid w:val="00D35F7C"/>
    <w:rsid w:val="00D361EE"/>
    <w:rsid w:val="00D404CA"/>
    <w:rsid w:val="00D42BCE"/>
    <w:rsid w:val="00D46365"/>
    <w:rsid w:val="00D536F1"/>
    <w:rsid w:val="00D53AC5"/>
    <w:rsid w:val="00D603B0"/>
    <w:rsid w:val="00D64A47"/>
    <w:rsid w:val="00D65805"/>
    <w:rsid w:val="00D65F70"/>
    <w:rsid w:val="00D66869"/>
    <w:rsid w:val="00D71ADD"/>
    <w:rsid w:val="00D76833"/>
    <w:rsid w:val="00D76B92"/>
    <w:rsid w:val="00D770E9"/>
    <w:rsid w:val="00D8096B"/>
    <w:rsid w:val="00D80EF8"/>
    <w:rsid w:val="00D81672"/>
    <w:rsid w:val="00D8333E"/>
    <w:rsid w:val="00D85DDE"/>
    <w:rsid w:val="00D8650E"/>
    <w:rsid w:val="00D874BA"/>
    <w:rsid w:val="00D879FE"/>
    <w:rsid w:val="00D902AB"/>
    <w:rsid w:val="00D91398"/>
    <w:rsid w:val="00D91FF5"/>
    <w:rsid w:val="00D92CEF"/>
    <w:rsid w:val="00D92E3B"/>
    <w:rsid w:val="00D9358D"/>
    <w:rsid w:val="00D93C0B"/>
    <w:rsid w:val="00DA3C81"/>
    <w:rsid w:val="00DA40EA"/>
    <w:rsid w:val="00DA7B63"/>
    <w:rsid w:val="00DB2430"/>
    <w:rsid w:val="00DB376E"/>
    <w:rsid w:val="00DB3BAB"/>
    <w:rsid w:val="00DC15F9"/>
    <w:rsid w:val="00DC31A6"/>
    <w:rsid w:val="00DD058F"/>
    <w:rsid w:val="00DD54AE"/>
    <w:rsid w:val="00DD5BA4"/>
    <w:rsid w:val="00DE271B"/>
    <w:rsid w:val="00DE3F52"/>
    <w:rsid w:val="00DE72F4"/>
    <w:rsid w:val="00DF028D"/>
    <w:rsid w:val="00DF13C2"/>
    <w:rsid w:val="00DF2AA6"/>
    <w:rsid w:val="00DF4A3F"/>
    <w:rsid w:val="00DF6451"/>
    <w:rsid w:val="00DF687B"/>
    <w:rsid w:val="00E0039D"/>
    <w:rsid w:val="00E0097E"/>
    <w:rsid w:val="00E016F6"/>
    <w:rsid w:val="00E037FB"/>
    <w:rsid w:val="00E03A88"/>
    <w:rsid w:val="00E04087"/>
    <w:rsid w:val="00E04367"/>
    <w:rsid w:val="00E055AC"/>
    <w:rsid w:val="00E07A8B"/>
    <w:rsid w:val="00E12A7D"/>
    <w:rsid w:val="00E13025"/>
    <w:rsid w:val="00E1384B"/>
    <w:rsid w:val="00E20086"/>
    <w:rsid w:val="00E2122A"/>
    <w:rsid w:val="00E21487"/>
    <w:rsid w:val="00E22CBD"/>
    <w:rsid w:val="00E23A37"/>
    <w:rsid w:val="00E30632"/>
    <w:rsid w:val="00E32B51"/>
    <w:rsid w:val="00E3459A"/>
    <w:rsid w:val="00E3499E"/>
    <w:rsid w:val="00E36ABE"/>
    <w:rsid w:val="00E40201"/>
    <w:rsid w:val="00E4085B"/>
    <w:rsid w:val="00E41229"/>
    <w:rsid w:val="00E4131F"/>
    <w:rsid w:val="00E4176F"/>
    <w:rsid w:val="00E43083"/>
    <w:rsid w:val="00E44413"/>
    <w:rsid w:val="00E44E45"/>
    <w:rsid w:val="00E475B0"/>
    <w:rsid w:val="00E5088A"/>
    <w:rsid w:val="00E5548E"/>
    <w:rsid w:val="00E60127"/>
    <w:rsid w:val="00E60CB2"/>
    <w:rsid w:val="00E6674F"/>
    <w:rsid w:val="00E6677A"/>
    <w:rsid w:val="00E72115"/>
    <w:rsid w:val="00E7294C"/>
    <w:rsid w:val="00E763B2"/>
    <w:rsid w:val="00E76792"/>
    <w:rsid w:val="00E81B93"/>
    <w:rsid w:val="00E8240C"/>
    <w:rsid w:val="00E83C44"/>
    <w:rsid w:val="00E8456B"/>
    <w:rsid w:val="00E858FE"/>
    <w:rsid w:val="00E87AFC"/>
    <w:rsid w:val="00E90892"/>
    <w:rsid w:val="00E9512C"/>
    <w:rsid w:val="00E963E5"/>
    <w:rsid w:val="00E97FDB"/>
    <w:rsid w:val="00EA1855"/>
    <w:rsid w:val="00EA7437"/>
    <w:rsid w:val="00EA74A4"/>
    <w:rsid w:val="00EA7F3C"/>
    <w:rsid w:val="00EB1AF1"/>
    <w:rsid w:val="00EB2E5D"/>
    <w:rsid w:val="00EB39FE"/>
    <w:rsid w:val="00EC02BC"/>
    <w:rsid w:val="00EC07B5"/>
    <w:rsid w:val="00EC3D3A"/>
    <w:rsid w:val="00EC59EE"/>
    <w:rsid w:val="00EC7C63"/>
    <w:rsid w:val="00ED0B9A"/>
    <w:rsid w:val="00ED2754"/>
    <w:rsid w:val="00ED399C"/>
    <w:rsid w:val="00EE1A5E"/>
    <w:rsid w:val="00EE3694"/>
    <w:rsid w:val="00EE3D3F"/>
    <w:rsid w:val="00EE63D5"/>
    <w:rsid w:val="00EE6BE8"/>
    <w:rsid w:val="00EF381D"/>
    <w:rsid w:val="00EF4595"/>
    <w:rsid w:val="00EF675B"/>
    <w:rsid w:val="00F00AA2"/>
    <w:rsid w:val="00F0112C"/>
    <w:rsid w:val="00F029CE"/>
    <w:rsid w:val="00F02B94"/>
    <w:rsid w:val="00F031B6"/>
    <w:rsid w:val="00F03786"/>
    <w:rsid w:val="00F05C1B"/>
    <w:rsid w:val="00F06332"/>
    <w:rsid w:val="00F065CE"/>
    <w:rsid w:val="00F067E6"/>
    <w:rsid w:val="00F072B9"/>
    <w:rsid w:val="00F110A0"/>
    <w:rsid w:val="00F16F23"/>
    <w:rsid w:val="00F20807"/>
    <w:rsid w:val="00F23C19"/>
    <w:rsid w:val="00F3170C"/>
    <w:rsid w:val="00F37FD2"/>
    <w:rsid w:val="00F40BF9"/>
    <w:rsid w:val="00F443B5"/>
    <w:rsid w:val="00F449DB"/>
    <w:rsid w:val="00F46960"/>
    <w:rsid w:val="00F47D28"/>
    <w:rsid w:val="00F52C5F"/>
    <w:rsid w:val="00F54449"/>
    <w:rsid w:val="00F6251E"/>
    <w:rsid w:val="00F63B81"/>
    <w:rsid w:val="00F646FA"/>
    <w:rsid w:val="00F64B0A"/>
    <w:rsid w:val="00F64C2D"/>
    <w:rsid w:val="00F700C0"/>
    <w:rsid w:val="00F7013B"/>
    <w:rsid w:val="00F7192D"/>
    <w:rsid w:val="00F74A33"/>
    <w:rsid w:val="00F75790"/>
    <w:rsid w:val="00F76465"/>
    <w:rsid w:val="00F90992"/>
    <w:rsid w:val="00F97126"/>
    <w:rsid w:val="00FA13FA"/>
    <w:rsid w:val="00FA2E80"/>
    <w:rsid w:val="00FA4772"/>
    <w:rsid w:val="00FA5CD3"/>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C7F40"/>
    <w:rsid w:val="00FD0F3B"/>
    <w:rsid w:val="00FD41B2"/>
    <w:rsid w:val="00FD78F5"/>
    <w:rsid w:val="00FE1306"/>
    <w:rsid w:val="00FE15AB"/>
    <w:rsid w:val="00FE1A5E"/>
    <w:rsid w:val="00FE52CC"/>
    <w:rsid w:val="00FF190A"/>
    <w:rsid w:val="00FF2D43"/>
    <w:rsid w:val="00FF31E0"/>
    <w:rsid w:val="00FF3643"/>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docId w15:val="{09A8FF4D-C4DF-4BF4-85F6-BF855751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3BB"/>
    <w:rPr>
      <w:kern w:val="0"/>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customStyle="1" w:styleId="NApunkts1">
    <w:name w:val="NA punkts 1"/>
    <w:basedOn w:val="Normal"/>
    <w:link w:val="NApunkts1Rakstz"/>
    <w:qFormat/>
    <w:rsid w:val="00E43083"/>
    <w:pPr>
      <w:numPr>
        <w:numId w:val="1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43083"/>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E43083"/>
    <w:pPr>
      <w:keepLines/>
      <w:numPr>
        <w:ilvl w:val="1"/>
        <w:numId w:val="1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43083"/>
    <w:pPr>
      <w:keepLines/>
      <w:numPr>
        <w:ilvl w:val="2"/>
        <w:numId w:val="1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43083"/>
    <w:pPr>
      <w:keepLines/>
      <w:numPr>
        <w:ilvl w:val="3"/>
        <w:numId w:val="11"/>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EB1AF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EB1AF1"/>
    <w:rPr>
      <w:rFonts w:ascii="Segoe UI" w:hAnsi="Segoe UI" w:cs="Segoe UI" w:hint="default"/>
      <w:color w:val="333333"/>
      <w:sz w:val="18"/>
      <w:szCs w:val="18"/>
    </w:rPr>
  </w:style>
  <w:style w:type="character" w:styleId="FollowedHyperlink">
    <w:name w:val="FollowedHyperlink"/>
    <w:basedOn w:val="DefaultParagraphFont"/>
    <w:uiPriority w:val="99"/>
    <w:semiHidden/>
    <w:unhideWhenUsed/>
    <w:rsid w:val="00E040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424406">
      <w:bodyDiv w:val="1"/>
      <w:marLeft w:val="0"/>
      <w:marRight w:val="0"/>
      <w:marTop w:val="0"/>
      <w:marBottom w:val="0"/>
      <w:divBdr>
        <w:top w:val="none" w:sz="0" w:space="0" w:color="auto"/>
        <w:left w:val="none" w:sz="0" w:space="0" w:color="auto"/>
        <w:bottom w:val="none" w:sz="0" w:space="0" w:color="auto"/>
        <w:right w:val="none" w:sz="0" w:space="0" w:color="auto"/>
      </w:divBdr>
    </w:div>
    <w:div w:id="218711122">
      <w:bodyDiv w:val="1"/>
      <w:marLeft w:val="0"/>
      <w:marRight w:val="0"/>
      <w:marTop w:val="0"/>
      <w:marBottom w:val="0"/>
      <w:divBdr>
        <w:top w:val="none" w:sz="0" w:space="0" w:color="auto"/>
        <w:left w:val="none" w:sz="0" w:space="0" w:color="auto"/>
        <w:bottom w:val="none" w:sz="0" w:space="0" w:color="auto"/>
        <w:right w:val="none" w:sz="0" w:space="0" w:color="auto"/>
      </w:divBdr>
    </w:div>
    <w:div w:id="389504066">
      <w:bodyDiv w:val="1"/>
      <w:marLeft w:val="0"/>
      <w:marRight w:val="0"/>
      <w:marTop w:val="0"/>
      <w:marBottom w:val="0"/>
      <w:divBdr>
        <w:top w:val="none" w:sz="0" w:space="0" w:color="auto"/>
        <w:left w:val="none" w:sz="0" w:space="0" w:color="auto"/>
        <w:bottom w:val="none" w:sz="0" w:space="0" w:color="auto"/>
        <w:right w:val="none" w:sz="0" w:space="0" w:color="auto"/>
      </w:divBdr>
    </w:div>
    <w:div w:id="49345314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4854661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sma.europa.eu/sites/default/files/2023-04/ESMA35-43-3565_Guidelines_on_certain_aspects_of_the_MiFID_II_remuneration_requirements_LV.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eli/reg/2019/2033/oj/?locale=L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ba.europa.eu/sites/default/files/document_library/Publications/Guidelines/2022/EBA-GL-2022-08%20GL%20on%20high%20earners/Translations/1039988/GL%20on%20the%20high%20earner%20data%20collections%20under%20CRD%20and%20IFD%20%28EBA%20GL%202022%2008%29_LV_CO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2019/2033/oj/?locale=LV" TargetMode="External"/><Relationship Id="rId5" Type="http://schemas.openxmlformats.org/officeDocument/2006/relationships/numbering" Target="numbering.xml"/><Relationship Id="rId15" Type="http://schemas.openxmlformats.org/officeDocument/2006/relationships/hyperlink" Target="https://www.eba.europa.eu/sites/default/files/document_library/Publications/Guidelines/2022/EBA-GL-2022-07%20GLs%20on%20remuneration%20IFD/Translations/1042324/GL%20on%20remuneration%20and%20pay%20gap%20benchmarking%20under%20IFD%20%28EBA%20GL%202022%2007%29_LV_COR.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ba.europa.eu/sites/default/files/document_library/Publications/Guidelines/2021/EBA-GL-2021-13%20Guidelines%20on%20remuneration%20under%20IFD/Translations/1028086/GL%20on%20sound%20remuneration%20policies%20under%20IFD_LV_CO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2.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B08A8D-21EE-4885-8C6C-65675735DE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15094</Words>
  <Characters>8604</Characters>
  <Application>Microsoft Office Word</Application>
  <DocSecurity>0</DocSecurity>
  <Lines>71</Lines>
  <Paragraphs>47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23651</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Maija Valce</cp:lastModifiedBy>
  <cp:revision>3</cp:revision>
  <cp:lastPrinted>2024-07-23T07:31:00Z</cp:lastPrinted>
  <dcterms:created xsi:type="dcterms:W3CDTF">2024-09-20T10:45:00Z</dcterms:created>
  <dcterms:modified xsi:type="dcterms:W3CDTF">2024-09-20T11:16:00Z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